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44"/>
        <w:pBdr/>
        <w:spacing w:after="0" w:afterAutospacing="0" w:before="0"/>
        <w:ind/>
        <w:jc w:val="center"/>
        <w:rPr>
          <w:rFonts w:ascii="PT Astra Serif" w:hAnsi="PT Astra Serif" w:cs="PT Astra Serif"/>
          <w:b w:val="0"/>
          <w:bCs w:val="0"/>
          <w:sz w:val="28"/>
          <w:szCs w:val="28"/>
          <w:highlight w:val="none"/>
        </w:rPr>
      </w:pPr>
      <w:r>
        <w:rPr>
          <w:rFonts w:ascii="PT Astra Serif" w:hAnsi="PT Astra Serif" w:cs="PT Astra Serif"/>
          <w:b w:val="0"/>
          <w:bCs w:val="0"/>
          <w:sz w:val="28"/>
          <w:szCs w:val="28"/>
        </w:rPr>
      </w:r>
      <w:r>
        <w:rPr>
          <w:rFonts w:ascii="PT Astra Serif" w:hAnsi="PT Astra Serif" w:cs="PT Astra Serif"/>
          <w:b w:val="0"/>
          <w:bCs w:val="0"/>
          <w:sz w:val="28"/>
          <w:szCs w:val="28"/>
          <w:highlight w:val="none"/>
        </w:rPr>
      </w:r>
      <w:r>
        <w:rPr>
          <w:rFonts w:ascii="PT Astra Serif" w:hAnsi="PT Astra Serif" w:cs="PT Astra Serif"/>
          <w:b w:val="0"/>
          <w:bCs w:val="0"/>
          <w:sz w:val="28"/>
          <w:szCs w:val="28"/>
          <w:highlight w:val="none"/>
        </w:rPr>
      </w:r>
    </w:p>
    <w:p>
      <w:pPr>
        <w:pStyle w:val="844"/>
        <w:pBdr/>
        <w:spacing w:after="0" w:afterAutospacing="0" w:before="0"/>
        <w:ind/>
        <w:jc w:val="center"/>
        <w:rPr>
          <w:rFonts w:ascii="PT Astra Serif" w:hAnsi="PT Astra Serif" w:cs="PT Astra Serif"/>
          <w:b w:val="0"/>
          <w:bCs w:val="0"/>
          <w:sz w:val="28"/>
          <w:szCs w:val="28"/>
          <w:highlight w:val="none"/>
        </w:rPr>
      </w:pPr>
      <w:r>
        <w:rPr>
          <w:rFonts w:ascii="PT Astra Serif" w:hAnsi="PT Astra Serif" w:cs="PT Astra Serif"/>
          <w:b w:val="0"/>
          <w:bCs w:val="0"/>
          <w:sz w:val="28"/>
          <w:szCs w:val="28"/>
        </w:rPr>
      </w:r>
      <w:r>
        <w:rPr>
          <w:rFonts w:ascii="PT Astra Serif" w:hAnsi="PT Astra Serif" w:cs="PT Astra Serif"/>
          <w:b w:val="0"/>
          <w:bCs w:val="0"/>
          <w:sz w:val="28"/>
          <w:szCs w:val="28"/>
          <w:highlight w:val="none"/>
        </w:rPr>
      </w:r>
      <w:r>
        <w:rPr>
          <w:rFonts w:ascii="PT Astra Serif" w:hAnsi="PT Astra Serif" w:cs="PT Astra Serif"/>
          <w:b w:val="0"/>
          <w:bCs w:val="0"/>
          <w:sz w:val="28"/>
          <w:szCs w:val="28"/>
          <w:highlight w:val="none"/>
        </w:rPr>
      </w:r>
    </w:p>
    <w:p>
      <w:pPr>
        <w:pStyle w:val="844"/>
        <w:pBdr/>
        <w:spacing w:after="0" w:afterAutospacing="0" w:before="0"/>
        <w:ind/>
        <w:jc w:val="center"/>
        <w:rPr>
          <w:rFonts w:ascii="PT Astra Serif" w:hAnsi="PT Astra Serif" w:cs="PT Astra Serif"/>
          <w:b w:val="0"/>
          <w:bCs w:val="0"/>
          <w:sz w:val="28"/>
          <w:szCs w:val="28"/>
          <w:highlight w:val="none"/>
        </w:rPr>
      </w:pPr>
      <w:r>
        <w:rPr>
          <w:rFonts w:ascii="PT Astra Serif" w:hAnsi="PT Astra Serif" w:cs="PT Astra Serif"/>
          <w:b w:val="0"/>
          <w:bCs w:val="0"/>
          <w:sz w:val="28"/>
          <w:szCs w:val="28"/>
        </w:rPr>
      </w:r>
      <w:r>
        <w:rPr>
          <w:rFonts w:ascii="PT Astra Serif" w:hAnsi="PT Astra Serif" w:cs="PT Astra Serif"/>
          <w:b w:val="0"/>
          <w:bCs w:val="0"/>
          <w:sz w:val="28"/>
          <w:szCs w:val="28"/>
          <w:highlight w:val="none"/>
        </w:rPr>
      </w:r>
      <w:r>
        <w:rPr>
          <w:rFonts w:ascii="PT Astra Serif" w:hAnsi="PT Astra Serif" w:cs="PT Astra Serif"/>
          <w:b w:val="0"/>
          <w:bCs w:val="0"/>
          <w:sz w:val="28"/>
          <w:szCs w:val="28"/>
          <w:highlight w:val="none"/>
        </w:rPr>
      </w:r>
    </w:p>
    <w:p>
      <w:pPr>
        <w:pStyle w:val="844"/>
        <w:pBdr/>
        <w:spacing w:after="0" w:afterAutospacing="0" w:before="0"/>
        <w:ind/>
        <w:jc w:val="center"/>
        <w:rPr>
          <w:rFonts w:ascii="PT Astra Serif" w:hAnsi="PT Astra Serif" w:cs="PT Astra Serif"/>
          <w:b w:val="0"/>
          <w:bCs w:val="0"/>
          <w:sz w:val="28"/>
          <w:szCs w:val="28"/>
          <w:highlight w:val="none"/>
        </w:rPr>
      </w:pPr>
      <w:r>
        <w:rPr>
          <w:rFonts w:ascii="PT Astra Serif" w:hAnsi="PT Astra Serif" w:cs="PT Astra Serif"/>
          <w:b w:val="0"/>
          <w:bCs w:val="0"/>
          <w:sz w:val="28"/>
          <w:szCs w:val="28"/>
        </w:rPr>
      </w:r>
      <w:r>
        <w:rPr>
          <w:rFonts w:ascii="PT Astra Serif" w:hAnsi="PT Astra Serif" w:cs="PT Astra Serif"/>
          <w:b w:val="0"/>
          <w:bCs w:val="0"/>
          <w:sz w:val="28"/>
          <w:szCs w:val="28"/>
          <w:highlight w:val="none"/>
        </w:rPr>
      </w:r>
      <w:r>
        <w:rPr>
          <w:rFonts w:ascii="PT Astra Serif" w:hAnsi="PT Astra Serif" w:cs="PT Astra Serif"/>
          <w:b w:val="0"/>
          <w:bCs w:val="0"/>
          <w:sz w:val="28"/>
          <w:szCs w:val="28"/>
          <w:highlight w:val="none"/>
        </w:rPr>
      </w:r>
    </w:p>
    <w:p>
      <w:pPr>
        <w:pStyle w:val="844"/>
        <w:pBdr/>
        <w:spacing w:after="0" w:afterAutospacing="0" w:before="0"/>
        <w:ind/>
        <w:jc w:val="center"/>
        <w:rPr>
          <w:rFonts w:ascii="PT Astra Serif" w:hAnsi="PT Astra Serif" w:cs="PT Astra Serif"/>
          <w:b w:val="0"/>
          <w:bCs w:val="0"/>
          <w:sz w:val="28"/>
          <w:szCs w:val="28"/>
          <w:highlight w:val="none"/>
        </w:rPr>
      </w:pPr>
      <w:r>
        <w:rPr>
          <w:rFonts w:ascii="PT Astra Serif" w:hAnsi="PT Astra Serif" w:cs="PT Astra Serif"/>
          <w:b w:val="0"/>
          <w:bCs w:val="0"/>
          <w:sz w:val="28"/>
          <w:szCs w:val="28"/>
        </w:rPr>
      </w:r>
      <w:r>
        <w:rPr>
          <w:rFonts w:ascii="PT Astra Serif" w:hAnsi="PT Astra Serif" w:cs="PT Astra Serif"/>
          <w:b w:val="0"/>
          <w:bCs w:val="0"/>
          <w:sz w:val="28"/>
          <w:szCs w:val="28"/>
          <w:highlight w:val="none"/>
        </w:rPr>
      </w:r>
      <w:r>
        <w:rPr>
          <w:rFonts w:ascii="PT Astra Serif" w:hAnsi="PT Astra Serif" w:cs="PT Astra Serif"/>
          <w:b w:val="0"/>
          <w:bCs w:val="0"/>
          <w:sz w:val="28"/>
          <w:szCs w:val="28"/>
          <w:highlight w:val="none"/>
        </w:rPr>
      </w:r>
    </w:p>
    <w:p>
      <w:pPr>
        <w:pStyle w:val="844"/>
        <w:pBdr/>
        <w:spacing w:after="0" w:afterAutospacing="0" w:before="0"/>
        <w:ind/>
        <w:jc w:val="center"/>
        <w:rPr>
          <w:rFonts w:ascii="PT Astra Serif" w:hAnsi="PT Astra Serif" w:cs="PT Astra Serif"/>
          <w:b w:val="0"/>
          <w:bCs w:val="0"/>
          <w:sz w:val="28"/>
          <w:szCs w:val="28"/>
          <w:highlight w:val="none"/>
        </w:rPr>
      </w:pPr>
      <w:r>
        <w:rPr>
          <w:rFonts w:ascii="PT Astra Serif" w:hAnsi="PT Astra Serif" w:cs="PT Astra Serif"/>
          <w:b w:val="0"/>
          <w:bCs w:val="0"/>
          <w:sz w:val="28"/>
          <w:szCs w:val="28"/>
        </w:rPr>
      </w:r>
      <w:r>
        <w:rPr>
          <w:rFonts w:ascii="PT Astra Serif" w:hAnsi="PT Astra Serif" w:cs="PT Astra Serif"/>
          <w:b w:val="0"/>
          <w:bCs w:val="0"/>
          <w:sz w:val="28"/>
          <w:szCs w:val="28"/>
          <w:highlight w:val="none"/>
        </w:rPr>
      </w:r>
      <w:r>
        <w:rPr>
          <w:rFonts w:ascii="PT Astra Serif" w:hAnsi="PT Astra Serif" w:cs="PT Astra Serif"/>
          <w:b w:val="0"/>
          <w:bCs w:val="0"/>
          <w:sz w:val="28"/>
          <w:szCs w:val="28"/>
          <w:highlight w:val="none"/>
        </w:rPr>
      </w:r>
    </w:p>
    <w:p>
      <w:pPr>
        <w:pStyle w:val="844"/>
        <w:pBdr/>
        <w:spacing w:after="0" w:afterAutospacing="0" w:before="0"/>
        <w:ind/>
        <w:jc w:val="center"/>
        <w:rPr>
          <w:rFonts w:ascii="PT Astra Serif" w:hAnsi="PT Astra Serif" w:cs="PT Astra Serif"/>
          <w:b w:val="0"/>
          <w:bCs w:val="0"/>
          <w:sz w:val="28"/>
          <w:szCs w:val="28"/>
          <w:highlight w:val="none"/>
        </w:rPr>
      </w:pPr>
      <w:r>
        <w:rPr>
          <w:rFonts w:ascii="PT Astra Serif" w:hAnsi="PT Astra Serif" w:cs="PT Astra Serif"/>
          <w:b w:val="0"/>
          <w:bCs w:val="0"/>
          <w:sz w:val="28"/>
          <w:szCs w:val="28"/>
        </w:rPr>
      </w:r>
      <w:r>
        <w:rPr>
          <w:rFonts w:ascii="PT Astra Serif" w:hAnsi="PT Astra Serif" w:cs="PT Astra Serif"/>
          <w:b w:val="0"/>
          <w:bCs w:val="0"/>
          <w:sz w:val="28"/>
          <w:szCs w:val="28"/>
          <w:highlight w:val="none"/>
        </w:rPr>
      </w:r>
      <w:r>
        <w:rPr>
          <w:rFonts w:ascii="PT Astra Serif" w:hAnsi="PT Astra Serif" w:cs="PT Astra Serif"/>
          <w:b w:val="0"/>
          <w:bCs w:val="0"/>
          <w:sz w:val="28"/>
          <w:szCs w:val="28"/>
          <w:highlight w:val="none"/>
        </w:rPr>
      </w:r>
    </w:p>
    <w:p>
      <w:pPr>
        <w:pStyle w:val="844"/>
        <w:pBdr/>
        <w:spacing w:after="0" w:afterAutospacing="0" w:before="0"/>
        <w:ind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eastAsia="Times New Roman" w:cs="Times New Roman"/>
          <w:b/>
          <w:bCs/>
          <w:sz w:val="32"/>
          <w:szCs w:val="32"/>
          <w:lang w:val="ru-RU" w:eastAsia="ru-RU"/>
        </w:rPr>
        <w:t xml:space="preserve">Информационная памятка </w:t>
      </w:r>
      <w:r>
        <w:rPr>
          <w:rFonts w:ascii="Times New Roman" w:hAnsi="Times New Roman" w:cs="Times New Roman"/>
          <w:b/>
          <w:bCs/>
          <w:sz w:val="32"/>
          <w:szCs w:val="32"/>
        </w:rPr>
      </w:r>
      <w:r>
        <w:rPr>
          <w:rFonts w:ascii="Times New Roman" w:hAnsi="Times New Roman" w:cs="Times New Roman"/>
          <w:b/>
          <w:bCs/>
          <w:sz w:val="32"/>
          <w:szCs w:val="32"/>
        </w:rPr>
      </w:r>
    </w:p>
    <w:p>
      <w:pPr>
        <w:pStyle w:val="844"/>
        <w:pBdr/>
        <w:spacing w:after="0" w:afterAutospacing="0" w:before="0"/>
        <w:ind/>
        <w:jc w:val="center"/>
        <w:rPr>
          <w:rFonts w:ascii="Times New Roman" w:hAnsi="Times New Roman" w:cs="Times New Roman"/>
          <w:b w:val="0"/>
          <w:bCs w:val="0"/>
          <w:sz w:val="32"/>
          <w:szCs w:val="32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32"/>
          <w:szCs w:val="32"/>
          <w:lang w:val="ru-RU" w:eastAsia="ru-RU"/>
        </w:rPr>
        <w:t xml:space="preserve">о порядке предоставления земельных участков</w:t>
      </w:r>
      <w:r>
        <w:rPr>
          <w:rFonts w:ascii="Times New Roman" w:hAnsi="Times New Roman" w:eastAsia="Times New Roman" w:cs="Times New Roman"/>
          <w:b w:val="0"/>
          <w:bCs w:val="0"/>
          <w:sz w:val="32"/>
          <w:szCs w:val="32"/>
        </w:rPr>
        <w:t xml:space="preserve"> для индивидуального жилищного строительства в собственность бесплатно</w:t>
      </w:r>
      <w:r>
        <w:rPr>
          <w:rFonts w:ascii="Times New Roman" w:hAnsi="Times New Roman" w:eastAsia="Times New Roman" w:cs="Times New Roman"/>
          <w:b w:val="0"/>
          <w:bCs w:val="0"/>
          <w:sz w:val="32"/>
          <w:szCs w:val="32"/>
        </w:rPr>
        <w:t xml:space="preserve"> участникам </w:t>
      </w:r>
      <w:r>
        <w:rPr>
          <w:rFonts w:ascii="Times New Roman" w:hAnsi="Times New Roman" w:eastAsia="Times New Roman" w:cs="Times New Roman"/>
          <w:b w:val="0"/>
          <w:bCs w:val="0"/>
          <w:sz w:val="32"/>
          <w:szCs w:val="32"/>
        </w:rPr>
        <w:t xml:space="preserve">специальной военной операции и членам их семей в рамках реализации Закона Костромской области от 21.12.2022 N 298-7-ЗКО «О мере социальной поддержки участников специальной военной операции и членов  их семей».</w:t>
      </w:r>
      <w:r>
        <w:rPr>
          <w:rFonts w:ascii="Times New Roman" w:hAnsi="Times New Roman" w:eastAsia="Times New Roman" w:cs="Times New Roman"/>
          <w:b w:val="0"/>
          <w:bCs w:val="0"/>
          <w:sz w:val="32"/>
          <w:szCs w:val="32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32"/>
          <w:szCs w:val="32"/>
          <w:highlight w:val="none"/>
        </w:rPr>
      </w:r>
      <w:r>
        <w:rPr>
          <w:rFonts w:ascii="Times New Roman" w:hAnsi="Times New Roman" w:cs="Times New Roman"/>
          <w:b w:val="0"/>
          <w:bCs w:val="0"/>
          <w:sz w:val="32"/>
          <w:szCs w:val="32"/>
          <w:highlight w:val="none"/>
        </w:rPr>
      </w:r>
    </w:p>
    <w:p>
      <w:pPr>
        <w:pStyle w:val="844"/>
        <w:pBdr/>
        <w:spacing w:after="0" w:afterAutospacing="0" w:before="0"/>
        <w:ind/>
        <w:jc w:val="center"/>
        <w:rPr>
          <w:rFonts w:ascii="Times New Roman" w:hAnsi="Times New Roman" w:cs="Times New Roman"/>
          <w:sz w:val="32"/>
          <w:szCs w:val="32"/>
          <w:highlight w:val="none"/>
        </w:rPr>
      </w:pPr>
      <w:r>
        <w:rPr>
          <w:rFonts w:ascii="Times New Roman" w:hAnsi="Times New Roman" w:eastAsia="Times New Roman" w:cs="Times New Roman"/>
          <w:sz w:val="32"/>
          <w:szCs w:val="32"/>
        </w:rPr>
      </w:r>
      <w:r>
        <w:rPr>
          <w:rFonts w:ascii="Times New Roman" w:hAnsi="Times New Roman" w:cs="Times New Roman"/>
          <w:sz w:val="32"/>
          <w:szCs w:val="32"/>
          <w:highlight w:val="none"/>
        </w:rPr>
      </w:r>
      <w:r>
        <w:rPr>
          <w:rFonts w:ascii="Times New Roman" w:hAnsi="Times New Roman" w:cs="Times New Roman"/>
          <w:sz w:val="32"/>
          <w:szCs w:val="32"/>
          <w:highlight w:val="none"/>
        </w:rPr>
      </w:r>
    </w:p>
    <w:p>
      <w:pPr>
        <w:pStyle w:val="844"/>
        <w:pBdr/>
        <w:shd w:val="nil" w:color="000000"/>
        <w:spacing/>
        <w:ind/>
        <w:jc w:val="center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highlight w:val="none"/>
        </w:rPr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rFonts w:ascii="PT Astra Serif" w:hAnsi="PT Astra Serif" w:cs="PT Astra Serif"/>
          <w:sz w:val="28"/>
          <w:szCs w:val="28"/>
          <w:highlight w:val="none"/>
        </w:rPr>
      </w:r>
    </w:p>
    <w:p>
      <w:pPr>
        <w:pStyle w:val="844"/>
        <w:pBdr/>
        <w:shd w:val="nil" w:color="auto"/>
        <w:spacing/>
        <w:ind/>
        <w:jc w:val="center"/>
        <w:rPr>
          <w:highlight w:val="none"/>
        </w:rPr>
      </w:pPr>
      <w:r>
        <w:rPr>
          <w:rFonts w:ascii="PT Astra Serif" w:hAnsi="PT Astra Serif" w:cs="PT Astra Serif"/>
          <w:sz w:val="28"/>
          <w:szCs w:val="28"/>
        </w:rPr>
      </w:r>
      <w:r>
        <w:br w:type="page" w:clear="all"/>
      </w:r>
      <w:r>
        <w:rPr>
          <w:highlight w:val="none"/>
        </w:rPr>
      </w:r>
      <w:r>
        <w:rPr>
          <w:highlight w:val="none"/>
        </w:rPr>
      </w:r>
    </w:p>
    <w:p>
      <w:pPr>
        <w:pStyle w:val="844"/>
        <w:numPr>
          <w:ilvl w:val="0"/>
          <w:numId w:val="2"/>
        </w:numPr>
        <w:pBdr/>
        <w:spacing w:after="0" w:afterAutospacing="0" w:before="0"/>
        <w:ind/>
        <w:jc w:val="center"/>
        <w:rPr>
          <w:rFonts w:ascii="Times New Roman" w:hAnsi="Times New Roman" w:eastAsia="Times New Roman" w:cs="Times New Roman"/>
          <w:sz w:val="32"/>
          <w:szCs w:val="32"/>
        </w:rPr>
      </w:pPr>
      <w:r>
        <w:rPr>
          <w:rFonts w:ascii="Times New Roman" w:hAnsi="Times New Roman" w:eastAsia="Times New Roman" w:cs="Times New Roman"/>
          <w:sz w:val="32"/>
          <w:szCs w:val="32"/>
        </w:rPr>
        <w:t xml:space="preserve">Лица, имеющие право на получение меры социальной поддержки в виде права на получение земельных участков, находящихся </w:t>
      </w:r>
      <w:r>
        <w:rPr>
          <w:rFonts w:ascii="Times New Roman" w:hAnsi="Times New Roman" w:eastAsia="Times New Roman" w:cs="Times New Roman"/>
          <w:sz w:val="32"/>
          <w:szCs w:val="32"/>
        </w:rPr>
        <w:t xml:space="preserve">в муниципальной собственности, земельных участков, расположенных на территории Костромской области, государственная собственность на которые не разграничена (далее - земельные участки), для индивидуального жилищного строительства в собственность</w:t>
      </w:r>
      <w:r>
        <w:rPr>
          <w:rFonts w:ascii="Times New Roman" w:hAnsi="Times New Roman" w:eastAsia="Times New Roman" w:cs="Times New Roman"/>
          <w:sz w:val="32"/>
          <w:szCs w:val="32"/>
        </w:rPr>
      </w:r>
      <w:r>
        <w:rPr>
          <w:rFonts w:ascii="Times New Roman" w:hAnsi="Times New Roman" w:eastAsia="Times New Roman" w:cs="Times New Roman"/>
          <w:sz w:val="32"/>
          <w:szCs w:val="32"/>
        </w:rPr>
      </w:r>
    </w:p>
    <w:p>
      <w:pPr>
        <w:pStyle w:val="844"/>
        <w:pBdr/>
        <w:spacing w:after="0" w:afterAutospacing="0" w:before="0"/>
        <w:ind w:firstLine="0" w:left="709"/>
        <w:jc w:val="center"/>
        <w:rPr>
          <w:rFonts w:ascii="Times New Roman" w:hAnsi="Times New Roman" w:cs="Times New Roman"/>
          <w:sz w:val="32"/>
          <w:szCs w:val="32"/>
          <w:highlight w:val="none"/>
        </w:rPr>
      </w:pPr>
      <w:r>
        <w:rPr>
          <w:rFonts w:ascii="Times New Roman" w:hAnsi="Times New Roman" w:eastAsia="Times New Roman" w:cs="Times New Roman"/>
          <w:sz w:val="32"/>
          <w:szCs w:val="32"/>
        </w:rPr>
        <w:t xml:space="preserve"> бесплатно:</w:t>
      </w:r>
      <w:r>
        <w:rPr>
          <w:rFonts w:ascii="Times New Roman" w:hAnsi="Times New Roman" w:cs="Times New Roman"/>
          <w:sz w:val="32"/>
          <w:szCs w:val="32"/>
          <w:highlight w:val="none"/>
        </w:rPr>
      </w:r>
      <w:r>
        <w:rPr>
          <w:rFonts w:ascii="Times New Roman" w:hAnsi="Times New Roman" w:cs="Times New Roman"/>
          <w:sz w:val="32"/>
          <w:szCs w:val="32"/>
          <w:highlight w:val="none"/>
        </w:rPr>
      </w:r>
    </w:p>
    <w:tbl>
      <w:tblPr>
        <w:tblW w:w="14571" w:type="dxa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09"/>
        <w:gridCol w:w="13861"/>
      </w:tblGrid>
      <w:tr>
        <w:trPr>
          <w:trHeight w:val="1568"/>
        </w:trPr>
        <w:tc>
          <w:tcPr>
            <w:tcBorders/>
            <w:tcW w:w="709" w:type="dxa"/>
            <w:textDirection w:val="lrTb"/>
            <w:noWrap w:val="false"/>
          </w:tcPr>
          <w:p>
            <w:pPr>
              <w:pStyle w:val="844"/>
              <w:pBdr/>
              <w:spacing w:after="0" w:afterAutospacing="0" w:before="0"/>
              <w:ind/>
              <w:rPr>
                <w:rFonts w:ascii="Times New Roman" w:hAnsi="Times New Roman" w:cs="Times New Roman"/>
                <w:sz w:val="32"/>
                <w:szCs w:val="3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32"/>
                <w:szCs w:val="32"/>
              </w:rPr>
              <w:t xml:space="preserve">1)</w:t>
            </w:r>
            <w:r>
              <w:rPr>
                <w:rFonts w:ascii="Times New Roman" w:hAnsi="Times New Roman" w:cs="Times New Roman"/>
                <w:sz w:val="32"/>
                <w:szCs w:val="32"/>
                <w:highlight w:val="none"/>
              </w:rPr>
            </w:r>
            <w:r>
              <w:rPr>
                <w:rFonts w:ascii="Times New Roman" w:hAnsi="Times New Roman" w:cs="Times New Roman"/>
                <w:sz w:val="32"/>
                <w:szCs w:val="32"/>
                <w:highlight w:val="none"/>
              </w:rPr>
            </w:r>
          </w:p>
        </w:tc>
        <w:tc>
          <w:tcPr>
            <w:tcBorders/>
            <w:tcW w:w="13861" w:type="dxa"/>
            <w:textDirection w:val="lrTb"/>
            <w:noWrap w:val="false"/>
          </w:tcPr>
          <w:p>
            <w:pPr>
              <w:pStyle w:val="844"/>
              <w:pBdr/>
              <w:spacing w:after="0" w:afterAutospacing="0" w:before="0"/>
              <w:ind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Style w:val="844"/>
              <w:pBdr/>
              <w:spacing w:after="0" w:afterAutospacing="0" w:before="0"/>
              <w:ind w:right="0" w:firstLine="567" w:left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32"/>
                <w:szCs w:val="32"/>
              </w:rPr>
              <w:t xml:space="preserve">военнослужащие по контракту, граждане Российской Федерации, проходившие военную службу по контракту, принимавшие (принимающие) участие в специальной военной операции (далее - военнослужащие);</w:t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Style w:val="844"/>
              <w:pBdr/>
              <w:spacing w:after="0" w:afterAutospacing="0" w:before="0"/>
              <w:ind/>
              <w:jc w:val="center"/>
              <w:rPr>
                <w:rFonts w:ascii="Times New Roman" w:hAnsi="Times New Roman" w:cs="Times New Roman"/>
                <w:sz w:val="32"/>
                <w:szCs w:val="3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  <w:highlight w:val="none"/>
              </w:rPr>
            </w:r>
            <w:r>
              <w:rPr>
                <w:rFonts w:ascii="Times New Roman" w:hAnsi="Times New Roman" w:cs="Times New Roman"/>
                <w:sz w:val="32"/>
                <w:szCs w:val="32"/>
                <w:highlight w:val="none"/>
              </w:rPr>
            </w:r>
          </w:p>
        </w:tc>
      </w:tr>
      <w:tr>
        <w:trPr>
          <w:trHeight w:val="1807"/>
        </w:trPr>
        <w:tc>
          <w:tcPr>
            <w:tcBorders/>
            <w:tcW w:w="709" w:type="dxa"/>
            <w:textDirection w:val="lrTb"/>
            <w:noWrap w:val="false"/>
          </w:tcPr>
          <w:p>
            <w:pPr>
              <w:pStyle w:val="844"/>
              <w:pBdr/>
              <w:spacing w:after="0" w:afterAutospacing="0" w:before="0"/>
              <w:ind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sz w:val="32"/>
                <w:szCs w:val="32"/>
              </w:rPr>
              <w:t xml:space="preserve">2) </w:t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  <w:tc>
          <w:tcPr>
            <w:tcBorders/>
            <w:tcW w:w="13861" w:type="dxa"/>
            <w:textDirection w:val="lrTb"/>
            <w:noWrap w:val="false"/>
          </w:tcPr>
          <w:p>
            <w:pPr>
              <w:pStyle w:val="844"/>
              <w:pBdr/>
              <w:spacing w:after="0" w:afterAutospacing="0" w:before="0"/>
              <w:ind w:right="0" w:firstLine="567" w:left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sz w:val="32"/>
                <w:szCs w:val="32"/>
              </w:rPr>
              <w:t xml:space="preserve">лица, проходящие службу в войсках национальной гвардии Российской Федерации</w:t>
            </w:r>
            <w:r>
              <w:rPr>
                <w:rFonts w:ascii="Times New Roman" w:hAnsi="Times New Roman" w:eastAsia="Times New Roman" w:cs="Times New Roman"/>
                <w:sz w:val="32"/>
                <w:szCs w:val="32"/>
              </w:rPr>
              <w:t xml:space="preserve"> и имеющие специальное звание полиции, граждане Российской Федерации, уволенные со службы в войсках национальной гвардии Российской Федерации, принимавшие (принимающие) участие в специальной военной операции (далее - сотрудники войск национальной гвардии);</w:t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Style w:val="844"/>
              <w:pBdr/>
              <w:spacing w:after="0" w:afterAutospacing="0" w:before="0"/>
              <w:ind/>
              <w:jc w:val="center"/>
              <w:rPr>
                <w:rFonts w:ascii="Times New Roman" w:hAnsi="Times New Roman" w:cs="Times New Roman"/>
                <w:sz w:val="32"/>
                <w:szCs w:val="3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  <w:highlight w:val="none"/>
              </w:rPr>
            </w:r>
            <w:r>
              <w:rPr>
                <w:rFonts w:ascii="Times New Roman" w:hAnsi="Times New Roman" w:cs="Times New Roman"/>
                <w:sz w:val="32"/>
                <w:szCs w:val="32"/>
                <w:highlight w:val="none"/>
              </w:rPr>
            </w:r>
          </w:p>
        </w:tc>
      </w:tr>
      <w:tr>
        <w:trPr>
          <w:trHeight w:val="1590"/>
        </w:trPr>
        <w:tc>
          <w:tcPr>
            <w:tcBorders/>
            <w:tcW w:w="709" w:type="dxa"/>
            <w:textDirection w:val="lrTb"/>
            <w:noWrap w:val="false"/>
          </w:tcPr>
          <w:p>
            <w:pPr>
              <w:pStyle w:val="844"/>
              <w:pBdr/>
              <w:spacing w:after="0" w:afterAutospacing="0" w:before="0"/>
              <w:ind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sz w:val="32"/>
                <w:szCs w:val="32"/>
              </w:rPr>
              <w:t xml:space="preserve">3)</w:t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  <w:tc>
          <w:tcPr>
            <w:tcBorders/>
            <w:tcW w:w="13861" w:type="dxa"/>
            <w:textDirection w:val="lrTb"/>
            <w:noWrap w:val="false"/>
          </w:tcPr>
          <w:p>
            <w:pPr>
              <w:pStyle w:val="844"/>
              <w:pBdr/>
              <w:spacing w:after="0" w:afterAutospacing="0" w:before="0"/>
              <w:ind w:right="0" w:firstLine="567" w:left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32"/>
                <w:szCs w:val="32"/>
              </w:rPr>
              <w:t xml:space="preserve">граждане Российской Федерации, заключившие после 24 февраля 2022 года контракт о пребывани</w:t>
            </w:r>
            <w:r>
              <w:rPr>
                <w:rFonts w:ascii="Times New Roman" w:hAnsi="Times New Roman" w:eastAsia="Times New Roman" w:cs="Times New Roman"/>
                <w:sz w:val="32"/>
                <w:szCs w:val="32"/>
              </w:rPr>
              <w:t xml:space="preserve">и в добровольческом формировании (о добровольном содействии в выполнении задач, возложенных на Вооруженные Силы Российской Федерации или войска национальной гвардии Российской Фед</w:t>
            </w:r>
            <w:r>
              <w:rPr>
                <w:rFonts w:ascii="Times New Roman" w:hAnsi="Times New Roman" w:eastAsia="Times New Roman" w:cs="Times New Roman"/>
                <w:sz w:val="32"/>
                <w:szCs w:val="32"/>
              </w:rPr>
              <w:t xml:space="preserve">ерации) через военный комиссариат Костромской области, либо подразделения (органы) войск национальной гвардии Российской Федерации на территории Костромской области, и принимавшие  (принимающие) участие в специальной военной операции (далее - добровольцы);</w:t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Style w:val="844"/>
              <w:pBdr/>
              <w:spacing w:after="0" w:afterAutospacing="0" w:before="0"/>
              <w:ind/>
              <w:jc w:val="center"/>
              <w:rPr>
                <w:rFonts w:ascii="Times New Roman" w:hAnsi="Times New Roman" w:cs="Times New Roman"/>
                <w:sz w:val="32"/>
                <w:szCs w:val="3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  <w:highlight w:val="none"/>
              </w:rPr>
            </w:r>
            <w:r>
              <w:rPr>
                <w:rFonts w:ascii="Times New Roman" w:hAnsi="Times New Roman" w:cs="Times New Roman"/>
                <w:sz w:val="32"/>
                <w:szCs w:val="32"/>
                <w:highlight w:val="none"/>
              </w:rPr>
            </w:r>
          </w:p>
        </w:tc>
      </w:tr>
      <w:tr>
        <w:trPr/>
        <w:tc>
          <w:tcPr>
            <w:tcBorders/>
            <w:tcW w:w="709" w:type="dxa"/>
            <w:textDirection w:val="lrTb"/>
            <w:noWrap w:val="false"/>
          </w:tcPr>
          <w:p>
            <w:pPr>
              <w:pStyle w:val="844"/>
              <w:pBdr/>
              <w:spacing w:after="0" w:afterAutospacing="0" w:before="0"/>
              <w:ind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sz w:val="32"/>
                <w:szCs w:val="32"/>
              </w:rPr>
              <w:t xml:space="preserve">4) </w:t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  <w:tc>
          <w:tcPr>
            <w:tcBorders/>
            <w:tcW w:w="13861" w:type="dxa"/>
            <w:textDirection w:val="lrTb"/>
            <w:noWrap w:val="false"/>
          </w:tcPr>
          <w:p>
            <w:pPr>
              <w:pStyle w:val="844"/>
              <w:pBdr/>
              <w:spacing w:after="0" w:afterAutospacing="0" w:before="0"/>
              <w:ind w:right="0" w:firstLine="567" w:left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sz w:val="32"/>
                <w:szCs w:val="32"/>
              </w:rPr>
              <w:t xml:space="preserve">гр</w:t>
            </w:r>
            <w:r>
              <w:rPr>
                <w:rFonts w:ascii="Times New Roman" w:hAnsi="Times New Roman" w:eastAsia="Times New Roman" w:cs="Times New Roman"/>
                <w:sz w:val="32"/>
                <w:szCs w:val="32"/>
              </w:rPr>
              <w:t xml:space="preserve">аждане Российской Федерации, проходившие ( проходящие) военную службу по мобилизации после 21 сентября 2022 года и принимавшие  (принимающие) участие в специальной военной операции, мобилизованные с территории Костромской области  (далее - мобилизованные).</w:t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  <w:p>
            <w:pPr>
              <w:pStyle w:val="844"/>
              <w:pBdr/>
              <w:spacing w:after="0" w:afterAutospacing="0" w:before="0"/>
              <w:ind/>
              <w:jc w:val="center"/>
              <w:rPr>
                <w:rFonts w:ascii="Times New Roman" w:hAnsi="Times New Roman" w:cs="Times New Roman"/>
                <w:sz w:val="32"/>
                <w:szCs w:val="3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  <w:highlight w:val="none"/>
              </w:rPr>
            </w:r>
            <w:r>
              <w:rPr>
                <w:rFonts w:ascii="Times New Roman" w:hAnsi="Times New Roman" w:cs="Times New Roman"/>
                <w:sz w:val="32"/>
                <w:szCs w:val="32"/>
                <w:highlight w:val="none"/>
              </w:rPr>
            </w:r>
          </w:p>
        </w:tc>
      </w:tr>
      <w:tr>
        <w:trPr/>
        <w:tc>
          <w:tcPr>
            <w:gridSpan w:val="2"/>
            <w:tcBorders/>
            <w:tcW w:w="14570" w:type="dxa"/>
            <w:textDirection w:val="lrTb"/>
            <w:noWrap w:val="false"/>
          </w:tcPr>
          <w:p>
            <w:pPr>
              <w:pStyle w:val="844"/>
              <w:pBdr/>
              <w:spacing w:after="0" w:afterAutospacing="0" w:before="0"/>
              <w:ind w:right="0" w:firstLine="567" w:left="0"/>
              <w:jc w:val="both"/>
              <w:rPr>
                <w:rFonts w:ascii="Times New Roman" w:hAnsi="Times New Roman" w:cs="Times New Roman"/>
                <w:sz w:val="32"/>
                <w:szCs w:val="3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32"/>
                <w:szCs w:val="32"/>
              </w:rPr>
              <w:t xml:space="preserve">В случае гибели (смерти) военнослужащего</w:t>
            </w:r>
            <w:r>
              <w:rPr>
                <w:rFonts w:ascii="Times New Roman" w:hAnsi="Times New Roman" w:eastAsia="Times New Roman" w:cs="Times New Roman"/>
                <w:sz w:val="32"/>
                <w:szCs w:val="32"/>
              </w:rPr>
              <w:t xml:space="preserve">, сотрудника войск национальной гвардии, добровольца, мобилизованного в период прохождения военной службы (службы), пребывания в добровольческом формировании (оказания добровольного содействия в выполнении задач, возложенных на Вооруженные Силы Российской </w:t>
            </w:r>
            <w:r>
              <w:rPr>
                <w:rFonts w:ascii="Times New Roman" w:hAnsi="Times New Roman" w:eastAsia="Times New Roman" w:cs="Times New Roman"/>
                <w:sz w:val="32"/>
                <w:szCs w:val="32"/>
              </w:rPr>
              <w:t xml:space="preserve">Федерации), признания его безвестно отсутствующим или объявления его умершим супруга (супруг), при ее (его) отсутствии - родители в равных долях (далее - члены их семей) имеют право на получение меры социальной поддержки в соответствии с настоящим Законом.</w:t>
            </w:r>
            <w:r>
              <w:rPr>
                <w:rFonts w:ascii="Times New Roman" w:hAnsi="Times New Roman" w:cs="Times New Roman"/>
                <w:sz w:val="32"/>
                <w:szCs w:val="32"/>
                <w:highlight w:val="none"/>
              </w:rPr>
            </w:r>
            <w:r>
              <w:rPr>
                <w:rFonts w:ascii="Times New Roman" w:hAnsi="Times New Roman" w:cs="Times New Roman"/>
                <w:sz w:val="32"/>
                <w:szCs w:val="32"/>
                <w:highlight w:val="none"/>
              </w:rPr>
            </w:r>
          </w:p>
          <w:p>
            <w:pPr>
              <w:pStyle w:val="844"/>
              <w:pBdr/>
              <w:spacing w:after="0" w:afterAutospacing="0" w:before="0"/>
              <w:ind/>
              <w:jc w:val="left"/>
              <w:rPr>
                <w:rFonts w:ascii="Times New Roman" w:hAnsi="Times New Roman" w:cs="Times New Roman"/>
                <w:sz w:val="32"/>
                <w:szCs w:val="3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32"/>
                <w:szCs w:val="32"/>
                <w:highlight w:val="none"/>
              </w:rPr>
            </w:r>
            <w:r>
              <w:rPr>
                <w:rFonts w:ascii="Times New Roman" w:hAnsi="Times New Roman" w:cs="Times New Roman"/>
                <w:sz w:val="32"/>
                <w:szCs w:val="32"/>
                <w:highlight w:val="none"/>
              </w:rPr>
            </w:r>
            <w:r>
              <w:rPr>
                <w:rFonts w:ascii="Times New Roman" w:hAnsi="Times New Roman" w:cs="Times New Roman"/>
                <w:sz w:val="32"/>
                <w:szCs w:val="32"/>
                <w:highlight w:val="none"/>
              </w:rPr>
            </w:r>
          </w:p>
        </w:tc>
      </w:tr>
    </w:tbl>
    <w:p>
      <w:pPr>
        <w:pStyle w:val="844"/>
        <w:pBdr/>
        <w:spacing/>
        <w:ind/>
        <w:jc w:val="left"/>
        <w:rPr>
          <w:rFonts w:ascii="Times New Roman" w:hAnsi="Times New Roman" w:cs="Times New Roman"/>
          <w:sz w:val="32"/>
          <w:szCs w:val="32"/>
          <w:highlight w:val="none"/>
        </w:rPr>
      </w:pPr>
      <w:r>
        <w:rPr>
          <w:rFonts w:ascii="Times New Roman" w:hAnsi="Times New Roman" w:eastAsia="Times New Roman" w:cs="Times New Roman"/>
          <w:sz w:val="32"/>
          <w:szCs w:val="32"/>
          <w:highlight w:val="none"/>
        </w:rPr>
      </w:r>
      <w:r>
        <w:rPr>
          <w:rFonts w:ascii="Times New Roman" w:hAnsi="Times New Roman" w:cs="Times New Roman"/>
          <w:sz w:val="32"/>
          <w:szCs w:val="32"/>
          <w:highlight w:val="none"/>
        </w:rPr>
      </w:r>
      <w:r>
        <w:rPr>
          <w:rFonts w:ascii="Times New Roman" w:hAnsi="Times New Roman" w:cs="Times New Roman"/>
          <w:sz w:val="32"/>
          <w:szCs w:val="32"/>
          <w:highlight w:val="none"/>
        </w:rPr>
      </w:r>
    </w:p>
    <w:p>
      <w:pPr>
        <w:pStyle w:val="844"/>
        <w:pBdr/>
        <w:spacing/>
        <w:ind/>
        <w:jc w:val="center"/>
        <w:rPr>
          <w:rFonts w:ascii="Times New Roman" w:hAnsi="Times New Roman" w:eastAsia="Times New Roman" w:cs="Times New Roman"/>
          <w:sz w:val="32"/>
          <w:szCs w:val="32"/>
          <w:highlight w:val="none"/>
        </w:rPr>
      </w:pPr>
      <w:r>
        <w:rPr>
          <w:rFonts w:ascii="Times New Roman" w:hAnsi="Times New Roman" w:eastAsia="Times New Roman" w:cs="Times New Roman"/>
          <w:sz w:val="32"/>
          <w:szCs w:val="32"/>
          <w:highlight w:val="none"/>
        </w:rPr>
      </w:r>
      <w:r>
        <w:rPr>
          <w:rFonts w:ascii="Times New Roman" w:hAnsi="Times New Roman" w:eastAsia="Times New Roman" w:cs="Times New Roman"/>
          <w:sz w:val="32"/>
          <w:szCs w:val="32"/>
          <w:highlight w:val="none"/>
        </w:rPr>
      </w:r>
      <w:r>
        <w:rPr>
          <w:rFonts w:ascii="Times New Roman" w:hAnsi="Times New Roman" w:eastAsia="Times New Roman" w:cs="Times New Roman"/>
          <w:sz w:val="32"/>
          <w:szCs w:val="32"/>
          <w:highlight w:val="none"/>
        </w:rPr>
      </w:r>
    </w:p>
    <w:p>
      <w:pPr>
        <w:pStyle w:val="844"/>
        <w:pBdr/>
        <w:spacing/>
        <w:ind/>
        <w:jc w:val="center"/>
        <w:rPr>
          <w:rFonts w:ascii="Times New Roman" w:hAnsi="Times New Roman" w:eastAsia="Times New Roman" w:cs="Times New Roman"/>
          <w:sz w:val="32"/>
          <w:szCs w:val="32"/>
          <w:highlight w:val="none"/>
        </w:rPr>
      </w:pPr>
      <w:r>
        <w:rPr>
          <w:rFonts w:ascii="Times New Roman" w:hAnsi="Times New Roman" w:eastAsia="Times New Roman" w:cs="Times New Roman"/>
          <w:sz w:val="32"/>
          <w:szCs w:val="32"/>
        </w:rPr>
      </w:r>
      <w:r>
        <w:rPr>
          <w:rFonts w:ascii="Times New Roman" w:hAnsi="Times New Roman" w:eastAsia="Times New Roman" w:cs="Times New Roman"/>
          <w:sz w:val="32"/>
          <w:szCs w:val="32"/>
        </w:rPr>
        <w:t xml:space="preserve">2. На территории какого муниципального образования можно получить земельный участок</w:t>
      </w:r>
      <w:r>
        <w:rPr>
          <w:rFonts w:ascii="Times New Roman" w:hAnsi="Times New Roman" w:eastAsia="Times New Roman" w:cs="Times New Roman"/>
          <w:sz w:val="32"/>
          <w:szCs w:val="32"/>
        </w:rPr>
        <w:t xml:space="preserve"> для индивидуального жилищного строительства в собственность бесплатно</w:t>
      </w:r>
      <w:r>
        <w:rPr>
          <w:rFonts w:ascii="Times New Roman" w:hAnsi="Times New Roman" w:eastAsia="Times New Roman" w:cs="Times New Roman"/>
          <w:sz w:val="32"/>
          <w:szCs w:val="32"/>
        </w:rPr>
        <w:t xml:space="preserve">:</w:t>
      </w:r>
      <w:r>
        <w:rPr>
          <w:rFonts w:ascii="Times New Roman" w:hAnsi="Times New Roman" w:eastAsia="Times New Roman" w:cs="Times New Roman"/>
          <w:sz w:val="32"/>
          <w:szCs w:val="32"/>
          <w:highlight w:val="none"/>
        </w:rPr>
      </w:r>
      <w:r>
        <w:rPr>
          <w:rFonts w:ascii="Times New Roman" w:hAnsi="Times New Roman" w:eastAsia="Times New Roman" w:cs="Times New Roman"/>
          <w:sz w:val="32"/>
          <w:szCs w:val="32"/>
          <w:highlight w:val="none"/>
        </w:rPr>
      </w:r>
    </w:p>
    <w:p>
      <w:pPr>
        <w:pStyle w:val="844"/>
        <w:pBdr/>
        <w:shd w:val="nil" w:color="000000"/>
        <w:spacing/>
        <w:ind/>
        <w:jc w:val="center"/>
        <w:rPr>
          <w:rFonts w:ascii="Times New Roman" w:hAnsi="Times New Roman" w:cs="Times New Roman"/>
          <w:sz w:val="32"/>
          <w:szCs w:val="32"/>
          <w:highlight w:val="none"/>
        </w:rPr>
      </w:pPr>
      <w:r>
        <w:rPr>
          <w:rFonts w:ascii="Times New Roman" w:hAnsi="Times New Roman" w:eastAsia="Times New Roman" w:cs="Times New Roman"/>
          <w:sz w:val="32"/>
          <w:szCs w:val="32"/>
          <w:highlight w:val="none"/>
        </w:rPr>
      </w:r>
      <w:r>
        <w:rPr>
          <w:rFonts w:ascii="Times New Roman" w:hAnsi="Times New Roman" w:cs="Times New Roman"/>
          <w:sz w:val="32"/>
          <w:szCs w:val="32"/>
          <w:highlight w:val="none"/>
        </w:rPr>
      </w:r>
      <w:r>
        <w:rPr>
          <w:rFonts w:ascii="Times New Roman" w:hAnsi="Times New Roman" w:cs="Times New Roman"/>
          <w:sz w:val="32"/>
          <w:szCs w:val="32"/>
          <w:highlight w:val="none"/>
        </w:rPr>
      </w:r>
    </w:p>
    <w:p>
      <w:pPr>
        <w:pStyle w:val="844"/>
        <w:numPr>
          <w:ilvl w:val="0"/>
          <w:numId w:val="3"/>
        </w:numPr>
        <w:pBdr/>
        <w:shd w:val="nil" w:color="000000"/>
        <w:spacing/>
        <w:ind/>
        <w:jc w:val="both"/>
        <w:rPr>
          <w:rFonts w:ascii="Times New Roman" w:hAnsi="Times New Roman" w:eastAsia="Times New Roman" w:cs="Times New Roman"/>
          <w:sz w:val="32"/>
          <w:szCs w:val="32"/>
        </w:rPr>
      </w:pPr>
      <w:r>
        <w:rPr>
          <w:rFonts w:ascii="Times New Roman" w:hAnsi="Times New Roman" w:eastAsia="Times New Roman" w:cs="Times New Roman"/>
          <w:sz w:val="32"/>
          <w:szCs w:val="32"/>
        </w:rPr>
        <w:t xml:space="preserve">Военнослужащий, сотрудник войск национальной гвардии, доброволец, мобилизованный-</w:t>
      </w:r>
      <w:r>
        <w:rPr>
          <w:rFonts w:ascii="Times New Roman" w:hAnsi="Times New Roman" w:eastAsia="Times New Roman" w:cs="Times New Roman"/>
          <w:sz w:val="32"/>
          <w:szCs w:val="32"/>
        </w:rPr>
      </w:r>
      <w:r>
        <w:rPr>
          <w:rFonts w:ascii="Times New Roman" w:hAnsi="Times New Roman" w:eastAsia="Times New Roman" w:cs="Times New Roman"/>
          <w:sz w:val="32"/>
          <w:szCs w:val="32"/>
        </w:rPr>
      </w:r>
    </w:p>
    <w:p>
      <w:pPr>
        <w:pStyle w:val="844"/>
        <w:pBdr/>
        <w:shd w:val="nil" w:color="000000"/>
        <w:spacing/>
        <w:ind w:firstLine="0" w:left="709"/>
        <w:jc w:val="both"/>
        <w:rPr>
          <w:rFonts w:ascii="Times New Roman" w:hAnsi="Times New Roman" w:eastAsia="Times New Roman" w:cs="Times New Roman"/>
          <w:sz w:val="32"/>
          <w:szCs w:val="32"/>
          <w:highlight w:val="none"/>
        </w:rPr>
      </w:pPr>
      <w:r>
        <w:rPr>
          <w:rFonts w:ascii="Times New Roman" w:hAnsi="Times New Roman" w:eastAsia="Times New Roman" w:cs="Times New Roman"/>
          <w:sz w:val="32"/>
          <w:szCs w:val="32"/>
        </w:rPr>
        <w:t xml:space="preserve"> имеет право </w:t>
      </w:r>
      <w:r>
        <w:rPr>
          <w:rFonts w:ascii="Times New Roman" w:hAnsi="Times New Roman" w:eastAsia="Times New Roman" w:cs="Times New Roman"/>
          <w:sz w:val="32"/>
          <w:szCs w:val="32"/>
          <w:u w:val="single"/>
        </w:rPr>
        <w:t xml:space="preserve">по своему выбору </w:t>
      </w:r>
      <w:r>
        <w:rPr>
          <w:rFonts w:ascii="Times New Roman" w:hAnsi="Times New Roman" w:eastAsia="Times New Roman" w:cs="Times New Roman"/>
          <w:sz w:val="32"/>
          <w:szCs w:val="32"/>
        </w:rPr>
        <w:t xml:space="preserve">получить земельный участок на тер</w:t>
      </w:r>
      <w:r>
        <w:rPr>
          <w:rFonts w:ascii="Times New Roman" w:hAnsi="Times New Roman" w:eastAsia="Times New Roman" w:cs="Times New Roman"/>
          <w:sz w:val="32"/>
          <w:szCs w:val="32"/>
        </w:rPr>
        <w:t xml:space="preserve">ритории муниципального образования, где преимущественно проживает на день начала участия в СВО, а также в границах одного из следующих муниципальных образований Костромской области: Буйский, Вохомский, Галичский, Сусанинский, Чухломской, Шарьинский муницип</w:t>
      </w:r>
      <w:r>
        <w:rPr>
          <w:rFonts w:ascii="Times New Roman" w:hAnsi="Times New Roman" w:eastAsia="Times New Roman" w:cs="Times New Roman"/>
          <w:sz w:val="32"/>
          <w:szCs w:val="32"/>
        </w:rPr>
        <w:t xml:space="preserve">альные районы; Антроповский, Кадыйский, Кологривский, Макарьевский, Мантуровский, Межевской, Нейский, Октябрьский, Островский, Павинский, Парфеньевский, Поназыревский, Пыщугский, Солигаличский муниципальные округа; городские округа: город Буй, Галич, Шарья</w:t>
      </w:r>
      <w:r>
        <w:rPr>
          <w:rFonts w:ascii="Times New Roman" w:hAnsi="Times New Roman" w:eastAsia="Times New Roman" w:cs="Times New Roman"/>
          <w:sz w:val="32"/>
          <w:szCs w:val="32"/>
          <w:highlight w:val="none"/>
        </w:rPr>
      </w:r>
      <w:r>
        <w:rPr>
          <w:rFonts w:ascii="Times New Roman" w:hAnsi="Times New Roman" w:eastAsia="Times New Roman" w:cs="Times New Roman"/>
          <w:sz w:val="32"/>
          <w:szCs w:val="32"/>
          <w:highlight w:val="none"/>
        </w:rPr>
      </w:r>
    </w:p>
    <w:p>
      <w:pPr>
        <w:pStyle w:val="844"/>
        <w:numPr>
          <w:ilvl w:val="0"/>
          <w:numId w:val="3"/>
        </w:numPr>
        <w:pBdr/>
        <w:shd w:val="nil" w:color="000000"/>
        <w:spacing/>
        <w:ind/>
        <w:jc w:val="both"/>
        <w:rPr>
          <w:rFonts w:ascii="Times New Roman" w:hAnsi="Times New Roman" w:eastAsia="Times New Roman" w:cs="Times New Roman"/>
          <w:sz w:val="32"/>
          <w:szCs w:val="32"/>
        </w:rPr>
      </w:pPr>
      <w:r>
        <w:rPr>
          <w:rFonts w:ascii="Times New Roman" w:hAnsi="Times New Roman" w:eastAsia="Times New Roman" w:cs="Times New Roman"/>
          <w:sz w:val="32"/>
          <w:szCs w:val="32"/>
          <w:highlight w:val="none"/>
        </w:rPr>
      </w:r>
      <w:r>
        <w:rPr>
          <w:rFonts w:ascii="Times New Roman" w:hAnsi="Times New Roman" w:eastAsia="Times New Roman" w:cs="Times New Roman"/>
          <w:sz w:val="32"/>
          <w:szCs w:val="32"/>
        </w:rPr>
        <w:t xml:space="preserve">Военнослужащий, сотрудник войск национальной гвардии, доброволец, мобилизованный, удостоенный звания Героя Российской Федерации в ходе СВО или ставшим инвалидом вследствие увечья (ранения, травмы, контузии), полученного в ходе СВО</w:t>
      </w:r>
      <w:r>
        <w:rPr>
          <w:rFonts w:ascii="Times New Roman" w:hAnsi="Times New Roman" w:eastAsia="Times New Roman" w:cs="Times New Roman"/>
          <w:sz w:val="32"/>
          <w:szCs w:val="32"/>
        </w:rPr>
        <w:t xml:space="preserve">;</w:t>
      </w:r>
      <w:r>
        <w:rPr>
          <w:rFonts w:ascii="Times New Roman" w:hAnsi="Times New Roman" w:eastAsia="Times New Roman" w:cs="Times New Roman"/>
          <w:sz w:val="32"/>
          <w:szCs w:val="32"/>
        </w:rPr>
      </w:r>
      <w:r>
        <w:rPr>
          <w:rFonts w:ascii="Times New Roman" w:hAnsi="Times New Roman" w:eastAsia="Times New Roman" w:cs="Times New Roman"/>
          <w:sz w:val="32"/>
          <w:szCs w:val="32"/>
        </w:rPr>
      </w:r>
    </w:p>
    <w:p>
      <w:pPr>
        <w:pStyle w:val="844"/>
        <w:pBdr/>
        <w:shd w:val="nil" w:color="000000"/>
        <w:spacing/>
        <w:ind w:firstLine="0" w:left="709"/>
        <w:jc w:val="both"/>
        <w:rPr>
          <w:rFonts w:ascii="Times New Roman" w:hAnsi="Times New Roman" w:eastAsia="Times New Roman" w:cs="Times New Roman"/>
          <w:sz w:val="32"/>
          <w:szCs w:val="32"/>
        </w:rPr>
      </w:pPr>
      <w:r>
        <w:rPr>
          <w:rFonts w:ascii="Times New Roman" w:hAnsi="Times New Roman" w:eastAsia="Times New Roman" w:cs="Times New Roman"/>
          <w:sz w:val="32"/>
          <w:szCs w:val="32"/>
        </w:rPr>
      </w:r>
      <w:r>
        <w:rPr>
          <w:rFonts w:ascii="Times New Roman" w:hAnsi="Times New Roman" w:eastAsia="Times New Roman" w:cs="Times New Roman"/>
          <w:sz w:val="32"/>
          <w:szCs w:val="32"/>
        </w:rPr>
        <w:t xml:space="preserve"> военнослужащий, замещающий воинскую должность командира воинских частей, расположенных на территории Костромской области;</w:t>
      </w:r>
      <w:r>
        <w:rPr>
          <w:rFonts w:ascii="Times New Roman" w:hAnsi="Times New Roman" w:eastAsia="Times New Roman" w:cs="Times New Roman"/>
          <w:sz w:val="32"/>
          <w:szCs w:val="32"/>
        </w:rPr>
      </w:r>
      <w:r>
        <w:rPr>
          <w:rFonts w:ascii="Times New Roman" w:hAnsi="Times New Roman" w:eastAsia="Times New Roman" w:cs="Times New Roman"/>
          <w:sz w:val="32"/>
          <w:szCs w:val="32"/>
        </w:rPr>
      </w:r>
    </w:p>
    <w:p>
      <w:pPr>
        <w:pStyle w:val="844"/>
        <w:pBdr/>
        <w:shd w:val="nil" w:color="000000"/>
        <w:spacing/>
        <w:ind w:firstLine="0" w:left="709"/>
        <w:jc w:val="both"/>
        <w:rPr>
          <w:rFonts w:ascii="Times New Roman" w:hAnsi="Times New Roman" w:eastAsia="Times New Roman" w:cs="Times New Roman"/>
          <w:sz w:val="32"/>
          <w:szCs w:val="32"/>
        </w:rPr>
      </w:pPr>
      <w:r>
        <w:rPr>
          <w:rFonts w:ascii="Times New Roman" w:hAnsi="Times New Roman" w:eastAsia="Times New Roman" w:cs="Times New Roman"/>
          <w:sz w:val="32"/>
          <w:szCs w:val="32"/>
        </w:rPr>
        <w:t xml:space="preserve">   супруг (супруга), при его (ее) отсутствии- родители в равных долях участника СВО, который погиб, признан безвестно отсутствующим или объявлен умершим;  </w:t>
      </w:r>
      <w:r>
        <w:rPr>
          <w:rFonts w:ascii="Times New Roman" w:hAnsi="Times New Roman" w:eastAsia="Times New Roman" w:cs="Times New Roman"/>
          <w:sz w:val="32"/>
          <w:szCs w:val="32"/>
        </w:rPr>
      </w:r>
      <w:r>
        <w:rPr>
          <w:rFonts w:ascii="Times New Roman" w:hAnsi="Times New Roman" w:eastAsia="Times New Roman" w:cs="Times New Roman"/>
          <w:sz w:val="32"/>
          <w:szCs w:val="32"/>
        </w:rPr>
      </w:r>
    </w:p>
    <w:p>
      <w:pPr>
        <w:pStyle w:val="844"/>
        <w:pBdr/>
        <w:shd w:val="nil" w:color="000000"/>
        <w:spacing/>
        <w:ind w:firstLine="0" w:left="709"/>
        <w:jc w:val="both"/>
        <w:rPr>
          <w:rFonts w:ascii="Times New Roman" w:hAnsi="Times New Roman" w:eastAsia="Times New Roman" w:cs="Times New Roman"/>
          <w:sz w:val="32"/>
          <w:szCs w:val="32"/>
          <w:highlight w:val="none"/>
        </w:rPr>
      </w:pPr>
      <w:r>
        <w:rPr>
          <w:rFonts w:ascii="Times New Roman" w:hAnsi="Times New Roman" w:eastAsia="Times New Roman" w:cs="Times New Roman"/>
          <w:sz w:val="32"/>
          <w:szCs w:val="32"/>
        </w:rPr>
        <w:t xml:space="preserve">-имеют право получить земельный участок</w:t>
      </w:r>
      <w:r>
        <w:rPr>
          <w:rFonts w:ascii="Times New Roman" w:hAnsi="Times New Roman" w:eastAsia="Times New Roman" w:cs="Times New Roman"/>
          <w:sz w:val="32"/>
          <w:szCs w:val="32"/>
          <w:u w:val="single"/>
        </w:rPr>
        <w:t xml:space="preserve"> по своему выбору</w:t>
      </w:r>
      <w:r>
        <w:rPr>
          <w:rFonts w:ascii="Times New Roman" w:hAnsi="Times New Roman" w:eastAsia="Times New Roman" w:cs="Times New Roman"/>
          <w:sz w:val="32"/>
          <w:szCs w:val="32"/>
        </w:rPr>
        <w:t xml:space="preserve"> в любом  городском, муниципальном округе, или муниципальном районе  Костромской области независимо от места постоянного или преимущественного проживания.</w:t>
      </w:r>
      <w:r>
        <w:rPr>
          <w:rFonts w:ascii="Times New Roman" w:hAnsi="Times New Roman" w:eastAsia="Times New Roman" w:cs="Times New Roman"/>
          <w:sz w:val="32"/>
          <w:szCs w:val="32"/>
          <w:highlight w:val="none"/>
        </w:rPr>
      </w:r>
      <w:r>
        <w:rPr>
          <w:rFonts w:ascii="Times New Roman" w:hAnsi="Times New Roman" w:eastAsia="Times New Roman" w:cs="Times New Roman"/>
          <w:sz w:val="32"/>
          <w:szCs w:val="32"/>
          <w:highlight w:val="none"/>
        </w:rPr>
      </w:r>
    </w:p>
    <w:p>
      <w:pPr>
        <w:pStyle w:val="844"/>
        <w:pBdr/>
        <w:shd w:val="nil" w:color="000000"/>
        <w:spacing/>
        <w:ind w:firstLine="0" w:left="709"/>
        <w:jc w:val="both"/>
        <w:rPr>
          <w:rFonts w:ascii="Times New Roman" w:hAnsi="Times New Roman" w:eastAsia="Times New Roman" w:cs="Times New Roman"/>
          <w:sz w:val="32"/>
          <w:szCs w:val="32"/>
        </w:rPr>
      </w:pPr>
      <w:r>
        <w:rPr>
          <w:rFonts w:ascii="Times New Roman" w:hAnsi="Times New Roman" w:eastAsia="Times New Roman" w:cs="Times New Roman"/>
          <w:sz w:val="32"/>
          <w:szCs w:val="32"/>
          <w:highlight w:val="none"/>
        </w:rPr>
        <w:t xml:space="preserve">3) </w:t>
      </w:r>
      <w:r>
        <w:rPr>
          <w:rFonts w:ascii="Times New Roman" w:hAnsi="Times New Roman" w:eastAsia="Times New Roman" w:cs="Times New Roman"/>
          <w:sz w:val="32"/>
          <w:szCs w:val="32"/>
        </w:rPr>
        <w:t xml:space="preserve">Военнослужащий, сотрудник войск национальной гвардии, доброволец, мобилизованный, который постоянно или преимущественно проживает на день начала участия в СВО на территории городского округа город Кострома,  </w:t>
      </w:r>
      <w:r>
        <w:rPr>
          <w:rFonts w:ascii="Times New Roman" w:hAnsi="Times New Roman" w:eastAsia="Times New Roman" w:cs="Times New Roman"/>
          <w:sz w:val="32"/>
          <w:szCs w:val="32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32"/>
          <w:szCs w:val="32"/>
        </w:rPr>
        <w:t xml:space="preserve">и военнослужащий, сотрудник войск национальной гвардии, </w:t>
      </w:r>
      <w:r>
        <w:rPr>
          <w:rFonts w:ascii="Times New Roman" w:hAnsi="Times New Roman" w:eastAsia="Times New Roman" w:cs="Times New Roman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z w:val="32"/>
          <w:szCs w:val="32"/>
        </w:rPr>
        <w:t xml:space="preserve">который постоянно или преимущественно проживает на дату подачи заявления о постановке на учет, </w:t>
      </w:r>
      <w:r>
        <w:rPr>
          <w:rFonts w:ascii="Times New Roman" w:hAnsi="Times New Roman" w:eastAsia="Times New Roman" w:cs="Times New Roman"/>
          <w:sz w:val="32"/>
          <w:szCs w:val="32"/>
        </w:rPr>
        <w:t xml:space="preserve"> на территории городского округа город Кострома</w:t>
      </w:r>
      <w:r>
        <w:rPr>
          <w:rFonts w:ascii="Times New Roman" w:hAnsi="Times New Roman" w:eastAsia="Times New Roman" w:cs="Times New Roman"/>
          <w:sz w:val="32"/>
          <w:szCs w:val="32"/>
        </w:rPr>
        <w:t xml:space="preserve">,</w:t>
      </w:r>
      <w:r>
        <w:rPr>
          <w:rFonts w:ascii="Times New Roman" w:hAnsi="Times New Roman" w:eastAsia="Times New Roman" w:cs="Times New Roman"/>
          <w:sz w:val="32"/>
          <w:szCs w:val="32"/>
        </w:rPr>
      </w:r>
      <w:r>
        <w:rPr>
          <w:rFonts w:ascii="Times New Roman" w:hAnsi="Times New Roman" w:eastAsia="Times New Roman" w:cs="Times New Roman"/>
          <w:sz w:val="32"/>
          <w:szCs w:val="32"/>
        </w:rPr>
      </w:r>
    </w:p>
    <w:p>
      <w:pPr>
        <w:pStyle w:val="844"/>
        <w:pBdr/>
        <w:shd w:val="nil" w:color="000000"/>
        <w:spacing/>
        <w:ind w:firstLine="0" w:left="709"/>
        <w:jc w:val="both"/>
        <w:rPr>
          <w:rFonts w:ascii="Times New Roman" w:hAnsi="Times New Roman" w:eastAsia="Times New Roman" w:cs="Times New Roman"/>
          <w:sz w:val="32"/>
          <w:szCs w:val="32"/>
          <w:highlight w:val="none"/>
        </w:rPr>
      </w:pPr>
      <w:r>
        <w:rPr>
          <w:rFonts w:ascii="Times New Roman" w:hAnsi="Times New Roman" w:eastAsia="Times New Roman" w:cs="Times New Roman"/>
          <w:sz w:val="32"/>
          <w:szCs w:val="32"/>
        </w:rPr>
        <w:t xml:space="preserve">- имеет право </w:t>
      </w:r>
      <w:r>
        <w:rPr>
          <w:rFonts w:ascii="Times New Roman" w:hAnsi="Times New Roman" w:eastAsia="Times New Roman" w:cs="Times New Roman"/>
          <w:sz w:val="32"/>
          <w:szCs w:val="32"/>
          <w:u w:val="single"/>
        </w:rPr>
        <w:t xml:space="preserve">по своему выбору </w:t>
      </w:r>
      <w:r>
        <w:rPr>
          <w:rFonts w:ascii="Times New Roman" w:hAnsi="Times New Roman" w:eastAsia="Times New Roman" w:cs="Times New Roman"/>
          <w:sz w:val="32"/>
          <w:szCs w:val="32"/>
        </w:rPr>
        <w:t xml:space="preserve">получить земельный участок </w:t>
      </w:r>
      <w:r>
        <w:rPr>
          <w:rFonts w:ascii="Times New Roman" w:hAnsi="Times New Roman" w:eastAsia="Times New Roman" w:cs="Times New Roman"/>
          <w:sz w:val="32"/>
          <w:szCs w:val="32"/>
        </w:rPr>
        <w:t xml:space="preserve">в границах одного из следующих муниципальных образований Костромской области: Буйский, Вохомский, Галичский, Красносельский, Судиславский, Сусанинский, Чухломской, Шарьинский муницип</w:t>
      </w:r>
      <w:r>
        <w:rPr>
          <w:rFonts w:ascii="Times New Roman" w:hAnsi="Times New Roman" w:eastAsia="Times New Roman" w:cs="Times New Roman"/>
          <w:sz w:val="32"/>
          <w:szCs w:val="32"/>
        </w:rPr>
        <w:t xml:space="preserve">альные районы; муниципальный район город Нерехта и Нерехтский район, </w:t>
      </w:r>
      <w:r>
        <w:rPr>
          <w:rFonts w:ascii="Times New Roman" w:hAnsi="Times New Roman" w:eastAsia="Times New Roman" w:cs="Times New Roman"/>
          <w:sz w:val="32"/>
          <w:szCs w:val="32"/>
        </w:rPr>
        <w:t xml:space="preserve">Антроповский, Кадыйский, Кологривский, Макарьевский, Мантуровский, Межевской, Нейский, Октябрьский, Островский, Павинский, Парфеньевский, Поназыревский, Пыщугский, Солигаличский муниципальные округа; городские округа: город Буй, Волгореченск, Галич, Шарья.</w:t>
      </w:r>
      <w:r>
        <w:rPr>
          <w:rFonts w:ascii="Times New Roman" w:hAnsi="Times New Roman" w:eastAsia="Times New Roman" w:cs="Times New Roman"/>
          <w:sz w:val="32"/>
          <w:szCs w:val="32"/>
          <w:highlight w:val="none"/>
        </w:rPr>
      </w:r>
      <w:r>
        <w:rPr>
          <w:rFonts w:ascii="Times New Roman" w:hAnsi="Times New Roman" w:eastAsia="Times New Roman" w:cs="Times New Roman"/>
          <w:sz w:val="32"/>
          <w:szCs w:val="32"/>
          <w:highlight w:val="none"/>
        </w:rPr>
      </w:r>
    </w:p>
    <w:p>
      <w:pPr>
        <w:pStyle w:val="844"/>
        <w:pBdr/>
        <w:shd w:val="nil" w:color="000000"/>
        <w:spacing/>
        <w:ind w:firstLine="0" w:left="709"/>
        <w:jc w:val="both"/>
        <w:rPr>
          <w:rFonts w:ascii="Times New Roman" w:hAnsi="Times New Roman" w:eastAsia="Times New Roman" w:cs="Times New Roman"/>
          <w:sz w:val="32"/>
          <w:szCs w:val="32"/>
          <w:highlight w:val="none"/>
        </w:rPr>
      </w:pPr>
      <w:r>
        <w:rPr>
          <w:rFonts w:ascii="Times New Roman" w:hAnsi="Times New Roman" w:eastAsia="Times New Roman" w:cs="Times New Roman"/>
          <w:sz w:val="32"/>
          <w:szCs w:val="32"/>
          <w:highlight w:val="none"/>
        </w:rPr>
      </w:r>
      <w:r>
        <w:rPr>
          <w:rFonts w:ascii="Times New Roman" w:hAnsi="Times New Roman" w:eastAsia="Times New Roman" w:cs="Times New Roman"/>
          <w:sz w:val="32"/>
          <w:szCs w:val="32"/>
          <w:highlight w:val="none"/>
        </w:rPr>
      </w:r>
      <w:r>
        <w:rPr>
          <w:rFonts w:ascii="Times New Roman" w:hAnsi="Times New Roman" w:eastAsia="Times New Roman" w:cs="Times New Roman"/>
          <w:sz w:val="32"/>
          <w:szCs w:val="32"/>
          <w:highlight w:val="none"/>
        </w:rPr>
      </w:r>
    </w:p>
    <w:p>
      <w:pPr>
        <w:pStyle w:val="844"/>
        <w:pBdr/>
        <w:spacing/>
        <w:ind/>
        <w:jc w:val="center"/>
        <w:rPr>
          <w:rFonts w:ascii="Times New Roman" w:hAnsi="Times New Roman" w:eastAsia="Times New Roman" w:cs="Times New Roman"/>
          <w:sz w:val="32"/>
          <w:szCs w:val="32"/>
          <w:highlight w:val="none"/>
        </w:rPr>
      </w:pPr>
      <w:r>
        <w:rPr>
          <w:rFonts w:ascii="Times New Roman" w:hAnsi="Times New Roman" w:eastAsia="Times New Roman" w:cs="Times New Roman"/>
          <w:sz w:val="32"/>
          <w:szCs w:val="32"/>
        </w:rPr>
      </w:r>
      <w:r>
        <w:rPr>
          <w:rFonts w:ascii="Times New Roman" w:hAnsi="Times New Roman" w:eastAsia="Times New Roman" w:cs="Times New Roman"/>
          <w:sz w:val="32"/>
          <w:szCs w:val="32"/>
        </w:rPr>
        <w:t xml:space="preserve">3. Перечень земельных участков</w:t>
      </w:r>
      <w:r>
        <w:rPr>
          <w:rFonts w:ascii="Times New Roman" w:hAnsi="Times New Roman" w:eastAsia="Times New Roman" w:cs="Times New Roman"/>
          <w:sz w:val="32"/>
          <w:szCs w:val="32"/>
        </w:rPr>
        <w:t xml:space="preserve"> для индивидуального жилищного строительства в собственность бесплатно</w:t>
      </w:r>
      <w:r>
        <w:rPr>
          <w:rFonts w:ascii="Times New Roman" w:hAnsi="Times New Roman" w:eastAsia="Times New Roman" w:cs="Times New Roman"/>
          <w:sz w:val="32"/>
          <w:szCs w:val="32"/>
          <w:highlight w:val="none"/>
        </w:rPr>
        <w:t xml:space="preserve"> в границах Шарьинского муниципального района</w:t>
      </w:r>
      <w:r>
        <w:rPr>
          <w:rFonts w:ascii="Times New Roman" w:hAnsi="Times New Roman" w:eastAsia="Times New Roman" w:cs="Times New Roman"/>
          <w:sz w:val="32"/>
          <w:szCs w:val="32"/>
          <w:highlight w:val="none"/>
        </w:rPr>
      </w:r>
      <w:r>
        <w:rPr>
          <w:rFonts w:ascii="Times New Roman" w:hAnsi="Times New Roman" w:eastAsia="Times New Roman" w:cs="Times New Roman"/>
          <w:sz w:val="32"/>
          <w:szCs w:val="32"/>
          <w:highlight w:val="none"/>
        </w:rPr>
      </w:r>
    </w:p>
    <w:p>
      <w:pPr>
        <w:pStyle w:val="844"/>
        <w:pBdr/>
        <w:shd w:val="nil" w:color="000000"/>
        <w:spacing/>
        <w:ind w:firstLine="0" w:left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Times New Roman" w:cs="Times New Roman"/>
          <w:sz w:val="32"/>
          <w:szCs w:val="32"/>
          <w:highlight w:val="none"/>
        </w:rPr>
      </w:r>
      <w:r>
        <w:rPr>
          <w:rFonts w:ascii="Times New Roman" w:hAnsi="Times New Roman" w:cs="Times New Roman"/>
          <w:sz w:val="32"/>
          <w:szCs w:val="32"/>
        </w:rPr>
      </w:r>
      <w:r>
        <w:rPr>
          <w:rFonts w:ascii="Times New Roman" w:hAnsi="Times New Roman" w:cs="Times New Roman"/>
          <w:sz w:val="32"/>
          <w:szCs w:val="32"/>
        </w:rPr>
      </w:r>
    </w:p>
    <w:p>
      <w:pPr>
        <w:pStyle w:val="844"/>
        <w:pBdr/>
        <w:shd w:val="nil" w:color="auto"/>
        <w:spacing/>
        <w:ind/>
        <w:jc w:val="left"/>
        <w:rPr>
          <w:rFonts w:ascii="Times New Roman" w:hAnsi="Times New Roman" w:cs="Times New Roman"/>
          <w:sz w:val="32"/>
          <w:szCs w:val="32"/>
          <w:highlight w:val="none"/>
        </w:rPr>
      </w:pPr>
      <w:r>
        <w:rPr>
          <w:rFonts w:ascii="Times New Roman" w:hAnsi="Times New Roman" w:eastAsia="Times New Roman" w:cs="Times New Roman"/>
          <w:sz w:val="32"/>
          <w:szCs w:val="32"/>
        </w:rPr>
        <w:t xml:space="preserve">     Перечень земельных участков формируется  и утверждается постановлением администрации Шарьинского муниципального района Костромской области , в том числе  на основании предложений администраций сельских поселений.</w:t>
        <w:br w:type="page" w:clear="all"/>
      </w:r>
      <w:r>
        <w:rPr>
          <w:rFonts w:ascii="Times New Roman" w:hAnsi="Times New Roman" w:cs="Times New Roman"/>
          <w:sz w:val="32"/>
          <w:szCs w:val="32"/>
          <w:highlight w:val="none"/>
        </w:rPr>
      </w:r>
      <w:r>
        <w:rPr>
          <w:rFonts w:ascii="Times New Roman" w:hAnsi="Times New Roman" w:cs="Times New Roman"/>
          <w:sz w:val="32"/>
          <w:szCs w:val="32"/>
          <w:highlight w:val="none"/>
        </w:rPr>
      </w:r>
    </w:p>
    <w:p>
      <w:pPr>
        <w:pStyle w:val="844"/>
        <w:pBdr/>
        <w:spacing w:after="0" w:afterAutospacing="0" w:before="0" w:line="240" w:lineRule="auto"/>
        <w:ind w:right="0" w:firstLine="567" w:left="0"/>
        <w:jc w:val="both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highlight w:val="none"/>
        </w:rPr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rFonts w:ascii="PT Astra Serif" w:hAnsi="PT Astra Serif" w:cs="PT Astra Serif"/>
          <w:sz w:val="28"/>
          <w:szCs w:val="28"/>
          <w:highlight w:val="none"/>
        </w:rPr>
      </w:r>
    </w:p>
    <w:p>
      <w:pPr>
        <w:pStyle w:val="844"/>
        <w:pBdr/>
        <w:spacing w:after="0" w:afterAutospacing="0" w:before="0" w:line="240" w:lineRule="auto"/>
        <w:ind w:right="0" w:firstLine="567" w:left="0"/>
        <w:jc w:val="both"/>
        <w:rPr/>
      </w:pPr>
      <w:r>
        <w:rPr>
          <w:rFonts w:ascii="Times New Roman" w:hAnsi="Times New Roman" w:eastAsia="Times New Roman" w:cs="Times New Roman"/>
          <w:sz w:val="32"/>
          <w:szCs w:val="32"/>
        </w:rPr>
        <w:t xml:space="preserve">Внесение дополнений в перечень производится ежеквартально (и чаще по   мере необходимости). Утвержденный перечень земельных участков размещается на официальном сайте муниципального образования. </w:t>
      </w:r>
      <w:r>
        <w:rPr>
          <w:highlight w:val="none"/>
        </w:rPr>
      </w:r>
      <w:r/>
    </w:p>
    <w:p>
      <w:pPr>
        <w:pStyle w:val="844"/>
        <w:pBdr/>
        <w:spacing w:after="0" w:afterAutospacing="0" w:before="0" w:line="240" w:lineRule="auto"/>
        <w:ind w:right="0" w:firstLine="567" w:left="0"/>
        <w:jc w:val="both"/>
        <w:rPr>
          <w:rFonts w:ascii="Times New Roman" w:hAnsi="Times New Roman" w:cs="Times New Roman"/>
          <w:sz w:val="32"/>
          <w:szCs w:val="32"/>
          <w:highlight w:val="none"/>
        </w:rPr>
      </w:pPr>
      <w:r>
        <w:rPr>
          <w:rFonts w:ascii="Times New Roman" w:hAnsi="Times New Roman" w:eastAsia="Times New Roman" w:cs="Times New Roman"/>
          <w:sz w:val="32"/>
          <w:szCs w:val="32"/>
          <w:highlight w:val="none"/>
        </w:rPr>
        <w:t xml:space="preserve">Перечни содержат информацию:</w:t>
      </w:r>
      <w:r>
        <w:rPr>
          <w:rFonts w:ascii="Times New Roman" w:hAnsi="Times New Roman" w:cs="Times New Roman"/>
          <w:sz w:val="32"/>
          <w:szCs w:val="32"/>
          <w:highlight w:val="none"/>
        </w:rPr>
      </w:r>
      <w:r>
        <w:rPr>
          <w:rFonts w:ascii="Times New Roman" w:hAnsi="Times New Roman" w:cs="Times New Roman"/>
          <w:sz w:val="32"/>
          <w:szCs w:val="32"/>
          <w:highlight w:val="none"/>
        </w:rPr>
      </w:r>
    </w:p>
    <w:p>
      <w:pPr>
        <w:pStyle w:val="844"/>
        <w:pBdr/>
        <w:spacing w:after="0" w:afterAutospacing="0" w:before="0" w:line="240" w:lineRule="auto"/>
        <w:ind w:right="0" w:firstLine="567" w:left="0"/>
        <w:jc w:val="both"/>
        <w:rPr>
          <w:rFonts w:ascii="Times New Roman" w:hAnsi="Times New Roman" w:cs="Times New Roman"/>
          <w:sz w:val="32"/>
          <w:szCs w:val="32"/>
          <w:highlight w:val="none"/>
        </w:rPr>
      </w:pPr>
      <w:r>
        <w:rPr>
          <w:rFonts w:ascii="Times New Roman" w:hAnsi="Times New Roman" w:eastAsia="Times New Roman" w:cs="Times New Roman"/>
          <w:sz w:val="32"/>
          <w:szCs w:val="32"/>
          <w:highlight w:val="none"/>
        </w:rPr>
        <w:t xml:space="preserve">О местоположении земельного участка; кадастровом номере , площади (</w:t>
      </w:r>
      <w:r>
        <w:rPr>
          <w:rFonts w:ascii="Times New Roman" w:hAnsi="Times New Roman" w:eastAsia="Times New Roman" w:cs="Times New Roman"/>
          <w:sz w:val="32"/>
          <w:szCs w:val="32"/>
          <w:highlight w:val="none"/>
        </w:rPr>
        <w:t xml:space="preserve">размер земельного участка может составлять от 800 - до 1500 кв.м.)  </w:t>
      </w:r>
      <w:r>
        <w:rPr>
          <w:rFonts w:ascii="Times New Roman" w:hAnsi="Times New Roman" w:cs="Times New Roman"/>
          <w:sz w:val="32"/>
          <w:szCs w:val="32"/>
          <w:highlight w:val="none"/>
        </w:rPr>
      </w:r>
      <w:r>
        <w:rPr>
          <w:rFonts w:ascii="Times New Roman" w:hAnsi="Times New Roman" w:cs="Times New Roman"/>
          <w:sz w:val="32"/>
          <w:szCs w:val="32"/>
          <w:highlight w:val="none"/>
        </w:rPr>
      </w:r>
    </w:p>
    <w:p>
      <w:pPr>
        <w:pStyle w:val="844"/>
        <w:pBdr/>
        <w:spacing w:after="0" w:afterAutospacing="0" w:before="0" w:line="240" w:lineRule="auto"/>
        <w:ind w:right="0" w:firstLine="567" w:left="0"/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844"/>
        <w:pBdr/>
        <w:spacing/>
        <w:ind/>
        <w:jc w:val="center"/>
        <w:rPr>
          <w:rFonts w:ascii="Times New Roman" w:hAnsi="Times New Roman" w:eastAsia="Times New Roman" w:cs="Times New Roman"/>
          <w:sz w:val="32"/>
          <w:szCs w:val="32"/>
          <w:highlight w:val="none"/>
        </w:rPr>
      </w:pPr>
      <w:r>
        <w:rPr>
          <w:rFonts w:ascii="Times New Roman" w:hAnsi="Times New Roman" w:eastAsia="Times New Roman" w:cs="Times New Roman"/>
          <w:sz w:val="32"/>
          <w:szCs w:val="32"/>
          <w:highlight w:val="none"/>
        </w:rPr>
      </w:r>
      <w:r>
        <w:rPr>
          <w:rFonts w:ascii="Times New Roman" w:hAnsi="Times New Roman" w:eastAsia="Times New Roman" w:cs="Times New Roman"/>
          <w:sz w:val="32"/>
          <w:szCs w:val="32"/>
          <w:highlight w:val="none"/>
        </w:rPr>
      </w:r>
      <w:r>
        <w:rPr>
          <w:rFonts w:ascii="Times New Roman" w:hAnsi="Times New Roman" w:eastAsia="Times New Roman" w:cs="Times New Roman"/>
          <w:sz w:val="32"/>
          <w:szCs w:val="32"/>
          <w:highlight w:val="none"/>
        </w:rPr>
      </w:r>
    </w:p>
    <w:p>
      <w:pPr>
        <w:pStyle w:val="844"/>
        <w:pBdr/>
        <w:spacing/>
        <w:ind/>
        <w:jc w:val="center"/>
        <w:rPr>
          <w:rFonts w:ascii="Times New Roman" w:hAnsi="Times New Roman" w:eastAsia="Times New Roman" w:cs="Times New Roman"/>
          <w:sz w:val="32"/>
          <w:szCs w:val="32"/>
          <w:highlight w:val="none"/>
        </w:rPr>
      </w:pPr>
      <w:r>
        <w:rPr>
          <w:rFonts w:ascii="Times New Roman" w:hAnsi="Times New Roman" w:eastAsia="Times New Roman" w:cs="Times New Roman"/>
          <w:sz w:val="32"/>
          <w:szCs w:val="32"/>
        </w:rPr>
      </w:r>
      <w:r>
        <w:rPr>
          <w:rFonts w:ascii="Times New Roman" w:hAnsi="Times New Roman" w:eastAsia="Times New Roman" w:cs="Times New Roman"/>
          <w:sz w:val="32"/>
          <w:szCs w:val="32"/>
        </w:rPr>
        <w:t xml:space="preserve">4. Постановка  </w:t>
      </w:r>
      <w:r>
        <w:rPr>
          <w:rFonts w:ascii="Times New Roman" w:hAnsi="Times New Roman" w:eastAsia="Times New Roman" w:cs="Times New Roman"/>
          <w:sz w:val="32"/>
          <w:szCs w:val="32"/>
        </w:rPr>
        <w:t xml:space="preserve">военнослужащих, сотрудников войск национальной гвардии, добровольцев, мобилизованных, членов их семей на учет в качестве лиц, имеющих право на предоставление земельного участка для индивидуального жилищного строительства в собственность бесплатно.</w:t>
      </w:r>
      <w:r>
        <w:rPr>
          <w:rFonts w:ascii="Times New Roman" w:hAnsi="Times New Roman" w:eastAsia="Times New Roman" w:cs="Times New Roman"/>
          <w:sz w:val="32"/>
          <w:szCs w:val="32"/>
          <w:highlight w:val="none"/>
        </w:rPr>
      </w:r>
      <w:r>
        <w:rPr>
          <w:rFonts w:ascii="Times New Roman" w:hAnsi="Times New Roman" w:eastAsia="Times New Roman" w:cs="Times New Roman"/>
          <w:sz w:val="32"/>
          <w:szCs w:val="32"/>
          <w:highlight w:val="none"/>
        </w:rPr>
      </w:r>
    </w:p>
    <w:p>
      <w:pPr>
        <w:pStyle w:val="844"/>
        <w:pBdr/>
        <w:spacing/>
        <w:ind/>
        <w:jc w:val="both"/>
        <w:rPr>
          <w:rFonts w:ascii="Times New Roman" w:hAnsi="Times New Roman" w:eastAsia="Times New Roman" w:cs="Times New Roman"/>
          <w:sz w:val="32"/>
          <w:szCs w:val="32"/>
          <w:highlight w:val="none"/>
        </w:rPr>
      </w:pPr>
      <w:r>
        <w:rPr>
          <w:rFonts w:ascii="Times New Roman" w:hAnsi="Times New Roman" w:eastAsia="Times New Roman" w:cs="Times New Roman"/>
          <w:sz w:val="32"/>
          <w:szCs w:val="32"/>
          <w:highlight w:val="none"/>
        </w:rPr>
      </w:r>
      <w:r>
        <w:rPr>
          <w:rFonts w:ascii="Times New Roman" w:hAnsi="Times New Roman" w:eastAsia="Times New Roman" w:cs="Times New Roman"/>
          <w:sz w:val="32"/>
          <w:szCs w:val="32"/>
          <w:highlight w:val="none"/>
        </w:rPr>
      </w:r>
      <w:r>
        <w:rPr>
          <w:rFonts w:ascii="Times New Roman" w:hAnsi="Times New Roman" w:eastAsia="Times New Roman" w:cs="Times New Roman"/>
          <w:sz w:val="32"/>
          <w:szCs w:val="32"/>
          <w:highlight w:val="none"/>
        </w:rPr>
      </w:r>
    </w:p>
    <w:p>
      <w:pPr>
        <w:pStyle w:val="844"/>
        <w:pBdr/>
        <w:spacing/>
        <w:ind/>
        <w:jc w:val="both"/>
        <w:rPr>
          <w:rFonts w:ascii="Times New Roman" w:hAnsi="Times New Roman" w:eastAsia="Times New Roman" w:cs="Times New Roman"/>
          <w:b w:val="0"/>
          <w:bCs w:val="0"/>
          <w:sz w:val="32"/>
          <w:szCs w:val="32"/>
          <w:highlight w:val="none"/>
        </w:rPr>
      </w:pPr>
      <w:r>
        <w:rPr>
          <w:rFonts w:ascii="Times New Roman" w:hAnsi="Times New Roman" w:eastAsia="Times New Roman" w:cs="Times New Roman"/>
          <w:sz w:val="32"/>
          <w:szCs w:val="32"/>
          <w:highlight w:val="none"/>
        </w:rPr>
      </w:r>
      <w:r>
        <w:rPr>
          <w:rFonts w:ascii="Times New Roman" w:hAnsi="Times New Roman" w:eastAsia="Times New Roman" w:cs="Times New Roman"/>
          <w:sz w:val="32"/>
          <w:szCs w:val="32"/>
        </w:rPr>
        <w:t xml:space="preserve">   Военнослужащие, сотрудники войск национальной гвардии, добровольцы, мобилизованные, члены их семей обращаются с заявлением о постановке на учет в </w:t>
      </w:r>
      <w:r>
        <w:rPr>
          <w:rFonts w:ascii="Times New Roman" w:hAnsi="Times New Roman" w:eastAsia="Times New Roman" w:cs="Times New Roman"/>
          <w:sz w:val="32"/>
          <w:szCs w:val="32"/>
        </w:rPr>
        <w:t xml:space="preserve"> в качестве лиц, имеющих право на предоставление земельного участка для индивидуального жилищного строительства в собственность бесплатно </w:t>
      </w:r>
      <w:r>
        <w:rPr>
          <w:rFonts w:ascii="Times New Roman" w:hAnsi="Times New Roman" w:eastAsia="Times New Roman" w:cs="Times New Roman"/>
          <w:sz w:val="32"/>
          <w:szCs w:val="32"/>
          <w:u w:val="single"/>
        </w:rPr>
        <w:t xml:space="preserve">в муниципальное образование Костромской области по своему выбору</w:t>
      </w:r>
      <w:r>
        <w:rPr>
          <w:rFonts w:ascii="Times New Roman" w:hAnsi="Times New Roman" w:eastAsia="Times New Roman" w:cs="Times New Roman"/>
          <w:sz w:val="32"/>
          <w:szCs w:val="32"/>
        </w:rPr>
        <w:t xml:space="preserve"> в соответствии с частью  2 настоящей памятки   (пункт 5 статьи 3 </w:t>
      </w:r>
      <w:r>
        <w:rPr>
          <w:rFonts w:ascii="Times New Roman" w:hAnsi="Times New Roman" w:eastAsia="Times New Roman" w:cs="Times New Roman"/>
          <w:b w:val="0"/>
          <w:bCs w:val="0"/>
          <w:sz w:val="32"/>
          <w:szCs w:val="32"/>
        </w:rPr>
        <w:t xml:space="preserve">Закона Костромской области от 21.12.2022 N 298-7-ЗКО «О мере социальной поддержки участников специальной военной операции и членов  их семей».</w:t>
      </w:r>
      <w:r>
        <w:rPr>
          <w:rFonts w:ascii="Times New Roman" w:hAnsi="Times New Roman" w:eastAsia="Times New Roman" w:cs="Times New Roman"/>
          <w:b w:val="0"/>
          <w:bCs w:val="0"/>
          <w:sz w:val="32"/>
          <w:szCs w:val="32"/>
        </w:rPr>
        <w:t xml:space="preserve"> )</w:t>
      </w:r>
      <w:r>
        <w:rPr>
          <w:rFonts w:ascii="Times New Roman" w:hAnsi="Times New Roman" w:eastAsia="Times New Roman" w:cs="Times New Roman"/>
          <w:b w:val="0"/>
          <w:bCs w:val="0"/>
          <w:sz w:val="32"/>
          <w:szCs w:val="32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32"/>
          <w:szCs w:val="32"/>
          <w:highlight w:val="none"/>
        </w:rPr>
      </w:r>
    </w:p>
    <w:p>
      <w:pPr>
        <w:pStyle w:val="844"/>
        <w:pBdr/>
        <w:spacing/>
        <w:ind/>
        <w:jc w:val="both"/>
        <w:rPr>
          <w:rFonts w:ascii="Times New Roman" w:hAnsi="Times New Roman" w:eastAsia="Times New Roman" w:cs="Times New Roman"/>
          <w:b w:val="0"/>
          <w:bCs w:val="0"/>
          <w:sz w:val="32"/>
          <w:szCs w:val="32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32"/>
          <w:szCs w:val="32"/>
          <w:highlight w:val="none"/>
        </w:rPr>
        <w:t xml:space="preserve">  Порядок постановки на учет, снятие с учета, форма заявления и  перечень документов, необходимых для постановки на учет утверждены постановлением администрации Костромской области от 26.12.2022 г. № 663-а .</w:t>
      </w:r>
      <w:r>
        <w:rPr>
          <w:rFonts w:ascii="Times New Roman" w:hAnsi="Times New Roman" w:eastAsia="Times New Roman" w:cs="Times New Roman"/>
          <w:b w:val="0"/>
          <w:bCs w:val="0"/>
          <w:sz w:val="32"/>
          <w:szCs w:val="32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32"/>
          <w:szCs w:val="32"/>
          <w:highlight w:val="none"/>
        </w:rPr>
      </w:r>
    </w:p>
    <w:p>
      <w:pPr>
        <w:pStyle w:val="844"/>
        <w:pBdr/>
        <w:spacing/>
        <w:ind/>
        <w:jc w:val="both"/>
        <w:rPr>
          <w:rFonts w:ascii="Times New Roman" w:hAnsi="Times New Roman" w:eastAsia="Times New Roman" w:cs="Times New Roman"/>
          <w:b w:val="0"/>
          <w:bCs w:val="0"/>
          <w:sz w:val="32"/>
          <w:szCs w:val="32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32"/>
          <w:szCs w:val="32"/>
          <w:highlight w:val="none"/>
        </w:rPr>
        <w:t xml:space="preserve">Решение о постановке на учет, или отказе в постановке на учет с указанием основания отказа, принимается уполномоченным органом в срок не более  30 дней  со дня поступления заявления. </w:t>
      </w:r>
      <w:r>
        <w:rPr>
          <w:rFonts w:ascii="Times New Roman" w:hAnsi="Times New Roman" w:eastAsia="Times New Roman" w:cs="Times New Roman"/>
          <w:b w:val="0"/>
          <w:bCs w:val="0"/>
          <w:sz w:val="32"/>
          <w:szCs w:val="32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32"/>
          <w:szCs w:val="32"/>
          <w:highlight w:val="none"/>
        </w:rPr>
      </w:r>
    </w:p>
    <w:p>
      <w:pPr>
        <w:pStyle w:val="844"/>
        <w:pBdr/>
        <w:spacing/>
        <w:ind/>
        <w:jc w:val="both"/>
        <w:rPr>
          <w:rFonts w:ascii="Times New Roman" w:hAnsi="Times New Roman" w:eastAsia="Times New Roman" w:cs="Times New Roman"/>
          <w:sz w:val="32"/>
          <w:szCs w:val="32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32"/>
          <w:szCs w:val="32"/>
          <w:highlight w:val="none"/>
        </w:rPr>
      </w:r>
      <w:r>
        <w:rPr>
          <w:rFonts w:ascii="Times New Roman" w:hAnsi="Times New Roman" w:eastAsia="Times New Roman" w:cs="Times New Roman"/>
          <w:sz w:val="32"/>
          <w:szCs w:val="32"/>
          <w:highlight w:val="none"/>
        </w:rPr>
      </w:r>
      <w:r>
        <w:rPr>
          <w:rFonts w:ascii="Times New Roman" w:hAnsi="Times New Roman" w:eastAsia="Times New Roman" w:cs="Times New Roman"/>
          <w:sz w:val="32"/>
          <w:szCs w:val="32"/>
          <w:highlight w:val="none"/>
        </w:rPr>
      </w:r>
    </w:p>
    <w:p>
      <w:pPr>
        <w:pStyle w:val="844"/>
        <w:pBdr/>
        <w:spacing/>
        <w:ind/>
        <w:jc w:val="both"/>
        <w:rPr>
          <w:rFonts w:ascii="Times New Roman" w:hAnsi="Times New Roman" w:eastAsia="Times New Roman" w:cs="Times New Roman"/>
          <w:sz w:val="32"/>
          <w:szCs w:val="32"/>
          <w:highlight w:val="none"/>
        </w:rPr>
      </w:pPr>
      <w:r>
        <w:rPr>
          <w:rFonts w:ascii="Times New Roman" w:hAnsi="Times New Roman" w:eastAsia="Times New Roman" w:cs="Times New Roman"/>
          <w:sz w:val="32"/>
          <w:szCs w:val="32"/>
          <w:highlight w:val="none"/>
        </w:rPr>
      </w:r>
      <w:r>
        <w:rPr>
          <w:rFonts w:ascii="Times New Roman" w:hAnsi="Times New Roman" w:eastAsia="Times New Roman" w:cs="Times New Roman"/>
          <w:sz w:val="32"/>
          <w:szCs w:val="32"/>
          <w:highlight w:val="none"/>
        </w:rPr>
      </w:r>
      <w:r>
        <w:rPr>
          <w:rFonts w:ascii="Times New Roman" w:hAnsi="Times New Roman" w:eastAsia="Times New Roman" w:cs="Times New Roman"/>
          <w:sz w:val="32"/>
          <w:szCs w:val="32"/>
          <w:highlight w:val="none"/>
        </w:rPr>
      </w:r>
    </w:p>
    <w:p>
      <w:pPr>
        <w:pStyle w:val="844"/>
        <w:pBdr/>
        <w:spacing w:after="0" w:afterAutospacing="0" w:before="0" w:line="240" w:lineRule="auto"/>
        <w:ind w:right="0" w:firstLine="567" w:left="0"/>
        <w:jc w:val="both"/>
        <w:rPr/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844"/>
        <w:pBdr/>
        <w:spacing w:after="0" w:afterAutospacing="0" w:before="0" w:line="240" w:lineRule="auto"/>
        <w:ind w:right="0" w:firstLine="567" w:left="0"/>
        <w:jc w:val="both"/>
        <w:rPr>
          <w:rFonts w:ascii="Times New Roman" w:hAnsi="Times New Roman" w:cs="Times New Roman"/>
          <w:sz w:val="32"/>
          <w:szCs w:val="32"/>
          <w:highlight w:val="none"/>
        </w:rPr>
      </w:pPr>
      <w:r>
        <w:rPr>
          <w:rFonts w:ascii="Times New Roman" w:hAnsi="Times New Roman" w:eastAsia="Times New Roman" w:cs="Times New Roman"/>
          <w:sz w:val="32"/>
          <w:szCs w:val="32"/>
          <w:highlight w:val="none"/>
        </w:rPr>
      </w:r>
      <w:r>
        <w:rPr>
          <w:rFonts w:ascii="Times New Roman" w:hAnsi="Times New Roman" w:cs="Times New Roman"/>
          <w:sz w:val="32"/>
          <w:szCs w:val="32"/>
          <w:highlight w:val="none"/>
        </w:rPr>
      </w:r>
      <w:r>
        <w:rPr>
          <w:rFonts w:ascii="Times New Roman" w:hAnsi="Times New Roman" w:cs="Times New Roman"/>
          <w:sz w:val="32"/>
          <w:szCs w:val="32"/>
          <w:highlight w:val="none"/>
        </w:rPr>
      </w:r>
    </w:p>
    <w:p>
      <w:pPr>
        <w:pStyle w:val="844"/>
        <w:pBdr/>
        <w:spacing w:after="0" w:afterAutospacing="0" w:before="0" w:line="240" w:lineRule="auto"/>
        <w:ind w:right="0" w:firstLine="567" w:left="0"/>
        <w:jc w:val="both"/>
        <w:rPr>
          <w:rFonts w:ascii="Times New Roman" w:hAnsi="Times New Roman" w:eastAsia="Times New Roman" w:cs="Times New Roman"/>
          <w:sz w:val="32"/>
          <w:szCs w:val="32"/>
          <w:highlight w:val="none"/>
        </w:rPr>
      </w:pPr>
      <w:r>
        <w:rPr>
          <w:rFonts w:ascii="Times New Roman" w:hAnsi="Times New Roman" w:eastAsia="Times New Roman" w:cs="Times New Roman"/>
          <w:sz w:val="32"/>
          <w:szCs w:val="32"/>
        </w:rPr>
        <w:t xml:space="preserve">Уполномочен</w:t>
      </w:r>
      <w:r>
        <w:rPr>
          <w:rFonts w:ascii="Times New Roman" w:hAnsi="Times New Roman" w:eastAsia="Times New Roman" w:cs="Times New Roman"/>
          <w:sz w:val="32"/>
          <w:szCs w:val="32"/>
        </w:rPr>
        <w:t xml:space="preserve">ным органом на постановку на учет и предоставление земельных участков участникам специальной военной операции и членам их семей на территории Шарьинского муниципального района является – администрация  Шарьинского муниципального района Костромской области.</w:t>
      </w:r>
      <w:r>
        <w:rPr>
          <w:rFonts w:ascii="Times New Roman" w:hAnsi="Times New Roman" w:eastAsia="Times New Roman" w:cs="Times New Roman"/>
          <w:sz w:val="32"/>
          <w:szCs w:val="32"/>
          <w:highlight w:val="none"/>
        </w:rPr>
      </w:r>
      <w:r>
        <w:rPr>
          <w:rFonts w:ascii="Times New Roman" w:hAnsi="Times New Roman" w:eastAsia="Times New Roman" w:cs="Times New Roman"/>
          <w:sz w:val="32"/>
          <w:szCs w:val="32"/>
          <w:highlight w:val="none"/>
        </w:rPr>
      </w:r>
    </w:p>
    <w:p>
      <w:pPr>
        <w:pStyle w:val="844"/>
        <w:pBdr/>
        <w:spacing w:after="0" w:afterAutospacing="0" w:before="0" w:line="240" w:lineRule="auto"/>
        <w:ind w:right="0" w:firstLine="567" w:left="0"/>
        <w:jc w:val="both"/>
        <w:rPr>
          <w:rFonts w:ascii="Times New Roman" w:hAnsi="Times New Roman" w:cs="Times New Roman"/>
          <w:sz w:val="32"/>
          <w:szCs w:val="32"/>
          <w:highlight w:val="none"/>
        </w:rPr>
      </w:pPr>
      <w:r>
        <w:rPr>
          <w:rFonts w:ascii="Times New Roman" w:hAnsi="Times New Roman" w:eastAsia="Times New Roman" w:cs="Times New Roman"/>
          <w:sz w:val="32"/>
          <w:szCs w:val="32"/>
          <w:highlight w:val="none"/>
        </w:rPr>
      </w:r>
      <w:r>
        <w:rPr>
          <w:rFonts w:ascii="Times New Roman" w:hAnsi="Times New Roman" w:eastAsia="Times New Roman" w:cs="Times New Roman"/>
          <w:sz w:val="32"/>
          <w:szCs w:val="32"/>
        </w:rPr>
        <w:t xml:space="preserve">По всем интересующим вопросам  обращаться</w:t>
      </w:r>
      <w:r>
        <w:rPr>
          <w:rFonts w:ascii="Times New Roman" w:hAnsi="Times New Roman" w:eastAsia="Times New Roman" w:cs="Times New Roman"/>
          <w:sz w:val="32"/>
          <w:szCs w:val="32"/>
        </w:rPr>
        <w:t xml:space="preserve"> в комитет по управлению муниципальным имуществом и земельными ресурс</w:t>
      </w:r>
      <w:r>
        <w:rPr>
          <w:rFonts w:ascii="Times New Roman" w:hAnsi="Times New Roman" w:eastAsia="Times New Roman" w:cs="Times New Roman"/>
          <w:sz w:val="32"/>
          <w:szCs w:val="32"/>
        </w:rPr>
        <w:t xml:space="preserve">ами администрации Шарьинского муниципального района (Костромская область, г. Шарья, ул. П.Морозова, д. 20, кабинет 2, телефон 8 (49449) 5-03-40,</w:t>
      </w:r>
      <w:r>
        <w:rPr>
          <w:rFonts w:ascii="Times New Roman" w:hAnsi="Times New Roman" w:eastAsia="Times New Roman" w:cs="Times New Roman"/>
          <w:sz w:val="32"/>
          <w:szCs w:val="32"/>
        </w:rPr>
        <w:t xml:space="preserve"> часы работы  08.00 -17.00, перерыв на обед  с 12.00-13.00.</w:t>
      </w:r>
      <w:r>
        <w:rPr>
          <w:rFonts w:ascii="Times New Roman" w:hAnsi="Times New Roman" w:cs="Times New Roman"/>
          <w:sz w:val="32"/>
          <w:szCs w:val="32"/>
          <w:highlight w:val="none"/>
        </w:rPr>
      </w:r>
      <w:r>
        <w:rPr>
          <w:rFonts w:ascii="Times New Roman" w:hAnsi="Times New Roman" w:cs="Times New Roman"/>
          <w:sz w:val="32"/>
          <w:szCs w:val="32"/>
          <w:highlight w:val="none"/>
        </w:rPr>
      </w:r>
    </w:p>
    <w:p>
      <w:pPr>
        <w:pStyle w:val="844"/>
        <w:pBdr/>
        <w:spacing w:after="0" w:afterAutospacing="0" w:before="0" w:line="240" w:lineRule="auto"/>
        <w:ind w:right="0" w:firstLine="0" w:left="0"/>
        <w:jc w:val="both"/>
        <w:rPr>
          <w:rFonts w:ascii="Times New Roman" w:hAnsi="Times New Roman" w:cs="Times New Roman"/>
          <w:sz w:val="32"/>
          <w:szCs w:val="32"/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pStyle w:val="844"/>
        <w:pBdr/>
        <w:spacing w:after="0" w:afterAutospacing="0" w:before="0" w:line="240" w:lineRule="auto"/>
        <w:ind w:right="0" w:firstLine="0" w:left="0"/>
        <w:jc w:val="both"/>
        <w:rPr>
          <w:highlight w:val="none"/>
        </w:rPr>
      </w:pPr>
      <w:r>
        <w:rPr>
          <w:rFonts w:ascii="Times New Roman" w:hAnsi="Times New Roman" w:eastAsia="Times New Roman" w:cs="Times New Roman"/>
          <w:sz w:val="32"/>
          <w:szCs w:val="32"/>
        </w:rPr>
      </w:r>
      <w:r>
        <w:br w:type="page" w:clear="all"/>
      </w:r>
      <w:r>
        <w:rPr>
          <w:rFonts w:ascii="Times New Roman" w:hAnsi="Times New Roman" w:cs="Times New Roman"/>
          <w:sz w:val="32"/>
          <w:szCs w:val="32"/>
          <w:highlight w:val="none"/>
        </w:rPr>
      </w:r>
      <w:r>
        <w:rPr>
          <w:rFonts w:ascii="Times New Roman" w:hAnsi="Times New Roman" w:cs="Times New Roman"/>
          <w:sz w:val="32"/>
          <w:szCs w:val="32"/>
          <w:highlight w:val="none"/>
        </w:rPr>
      </w:r>
    </w:p>
    <w:p>
      <w:pPr>
        <w:pStyle w:val="844"/>
        <w:pBdr/>
        <w:spacing w:after="0" w:afterAutospacing="0" w:before="0" w:line="240" w:lineRule="auto"/>
        <w:ind w:right="0" w:firstLine="567" w:left="0"/>
        <w:jc w:val="center"/>
        <w:rPr>
          <w:rFonts w:ascii="PT Astra Serif" w:hAnsi="PT Astra Serif" w:cs="PT Astra Serif"/>
          <w:b w:val="0"/>
          <w:bCs w:val="0"/>
          <w:sz w:val="16"/>
          <w:szCs w:val="16"/>
          <w:highlight w:val="none"/>
        </w:rPr>
      </w:pPr>
      <w:r>
        <w:rPr>
          <w:rFonts w:ascii="PT Astra Serif" w:hAnsi="PT Astra Serif" w:cs="PT Astra Serif"/>
          <w:b w:val="0"/>
          <w:bCs w:val="0"/>
          <w:sz w:val="16"/>
          <w:szCs w:val="16"/>
        </w:rPr>
      </w:r>
      <w:r>
        <w:rPr>
          <w:rFonts w:ascii="PT Astra Serif" w:hAnsi="PT Astra Serif" w:cs="PT Astra Serif"/>
          <w:b w:val="0"/>
          <w:bCs w:val="0"/>
          <w:sz w:val="16"/>
          <w:szCs w:val="16"/>
          <w:highlight w:val="none"/>
        </w:rPr>
      </w:r>
      <w:r>
        <w:rPr>
          <w:rFonts w:ascii="PT Astra Serif" w:hAnsi="PT Astra Serif" w:cs="PT Astra Serif"/>
          <w:b w:val="0"/>
          <w:bCs w:val="0"/>
          <w:sz w:val="16"/>
          <w:szCs w:val="16"/>
          <w:highlight w:val="none"/>
        </w:rPr>
      </w:r>
    </w:p>
    <w:sectPr>
      <w:footnotePr/>
      <w:endnotePr/>
      <w:type w:val="nextPage"/>
      <w:pgSz w:h="11906" w:orient="landscape" w:w="16838"/>
      <w:pgMar w:top="454" w:right="1134" w:bottom="397" w:left="1134" w:header="0" w:footer="0" w:gutter="0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angal">
    <w:panose1 w:val="02040503050406030204"/>
  </w:font>
  <w:font w:name="Liberation Sans">
    <w:panose1 w:val="020B0604020202020204"/>
  </w:font>
  <w:font w:name="Microsoft YaHei">
    <w:panose1 w:val="020B0503020204020204"/>
  </w:font>
  <w:font w:name="Times New Roman">
    <w:panose1 w:val="02020603050405020304"/>
  </w:font>
  <w:font w:name="Calibri">
    <w:panose1 w:val="020F0502020204030204"/>
  </w:font>
  <w:font w:name="PT Astra Serif">
    <w:panose1 w:val="05040102010807070707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spacing/>
        <w:ind w:hanging="360" w:left="142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214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86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58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30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502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74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46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189"/>
      </w:pPr>
      <w:rPr/>
      <w:start w:val="1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abstractNum w:abstractNumId="2">
    <w:lvl w:ilvl="0">
      <w:isLgl w:val="false"/>
      <w:lvlJc w:val="left"/>
      <w:lvlText w:val="%1)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abstractNum w:abstractNumId="3">
    <w:lvl w:ilvl="0">
      <w:isLgl w:val="false"/>
      <w:lvlJc w:val="left"/>
      <w:lvlText w:val="%1)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abstractNum w:abstractNumId="4">
    <w:lvl w:ilvl="0">
      <w:isLgl w:val="false"/>
      <w:lvlJc w:val="left"/>
      <w:lvlText w:val="%1)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abstractNum w:abstractNumId="5">
    <w:lvl w:ilvl="0">
      <w:isLgl w:val="false"/>
      <w:lvlJc w:val="left"/>
      <w:lvlText w:val="%1)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Cs w:val="22"/>
        <w:lang w:val="ru-RU" w:eastAsia="en-US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9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Table Grid"/>
    <w:basedOn w:val="709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Table Grid Light"/>
    <w:basedOn w:val="709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1"/>
    <w:basedOn w:val="709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Plain Table 2"/>
    <w:basedOn w:val="709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Plain Table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"/>
    <w:basedOn w:val="7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1"/>
    <w:basedOn w:val="7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2"/>
    <w:basedOn w:val="7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3"/>
    <w:basedOn w:val="7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4"/>
    <w:basedOn w:val="7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5"/>
    <w:basedOn w:val="7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6"/>
    <w:basedOn w:val="7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1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2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3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4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5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6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1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2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3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4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5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6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36">
    <w:name w:val="Intense Emphasis"/>
    <w:basedOn w:val="87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837">
    <w:name w:val="Intense Reference"/>
    <w:basedOn w:val="87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38">
    <w:name w:val="Subtle Emphasis"/>
    <w:basedOn w:val="87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39">
    <w:name w:val="Emphasis"/>
    <w:basedOn w:val="877"/>
    <w:uiPriority w:val="20"/>
    <w:qFormat/>
    <w:pPr>
      <w:pBdr/>
      <w:spacing/>
      <w:ind/>
    </w:pPr>
    <w:rPr>
      <w:i/>
      <w:iCs/>
    </w:rPr>
  </w:style>
  <w:style w:type="character" w:styleId="840">
    <w:name w:val="Strong"/>
    <w:basedOn w:val="877"/>
    <w:uiPriority w:val="22"/>
    <w:qFormat/>
    <w:pPr>
      <w:pBdr/>
      <w:spacing/>
      <w:ind/>
    </w:pPr>
    <w:rPr>
      <w:b/>
      <w:bCs/>
    </w:rPr>
  </w:style>
  <w:style w:type="character" w:styleId="841">
    <w:name w:val="Subtle Reference"/>
    <w:basedOn w:val="87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42">
    <w:name w:val="Book Title"/>
    <w:basedOn w:val="877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43">
    <w:name w:val="FollowedHyperlink"/>
    <w:basedOn w:val="87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44" w:default="1">
    <w:name w:val="Normal"/>
    <w:qFormat/>
    <w:pPr>
      <w:widowControl w:val="true"/>
      <w:pBdr/>
      <w:bidi w:val="false"/>
      <w:spacing w:after="160" w:before="0" w:line="259" w:lineRule="auto"/>
      <w:ind/>
      <w:jc w:val="left"/>
    </w:pPr>
    <w:rPr>
      <w:rFonts w:ascii="Calibri" w:hAnsi="Calibri" w:eastAsia="Calibri" w:cs="Arial" w:asciiTheme="minorHAnsi" w:hAnsiTheme="minorHAnsi" w:eastAsiaTheme="minorHAnsi" w:cstheme="minorBidi"/>
      <w:color w:val="00000a"/>
      <w:sz w:val="22"/>
      <w:szCs w:val="22"/>
      <w:lang w:val="ru-RU" w:eastAsia="en-US" w:bidi="ar-SA"/>
    </w:rPr>
  </w:style>
  <w:style w:type="paragraph" w:styleId="845" w:customStyle="1">
    <w:name w:val="Heading 1"/>
    <w:basedOn w:val="844"/>
    <w:qFormat/>
    <w:pPr>
      <w:keepNext w:val="true"/>
      <w:keepLines w:val="false"/>
      <w:pageBreakBefore w:val="false"/>
      <w:widowControl w:val="true"/>
      <w:numPr>
        <w:ilvl w:val="0"/>
        <w:numId w:val="0"/>
      </w:numPr>
      <w:pBdr/>
      <w:shd w:val="nil"/>
      <w:tabs>
        <w:tab w:val="left" w:leader="none" w:pos="0"/>
        <w:tab w:val="clear" w:leader="none" w:pos="708"/>
      </w:tabs>
      <w:spacing w:after="0" w:afterAutospacing="0" w:before="180" w:beforeAutospacing="0" w:line="240" w:lineRule="auto"/>
      <w:ind w:right="0" w:firstLine="0" w:left="0"/>
      <w:jc w:val="center"/>
      <w:outlineLvl w:val="0"/>
    </w:pPr>
    <w:rPr>
      <w:rFonts w:ascii="Times New Roman" w:hAnsi="Times New Roman" w:eastAsia="Times New Roman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u w:val="none"/>
      <w:vertAlign w:val="baseline"/>
      <w:lang w:val="en-US" w:eastAsia="zh-CN" w:bidi="ar-SA"/>
      <w14:ligatures w14:val="none"/>
    </w:rPr>
  </w:style>
  <w:style w:type="paragraph" w:styleId="846" w:customStyle="1">
    <w:name w:val="Heading 2"/>
    <w:basedOn w:val="844"/>
    <w:qFormat/>
    <w:pPr>
      <w:keepNext w:val="true"/>
      <w:keepLines w:val="false"/>
      <w:pageBreakBefore w:val="false"/>
      <w:widowControl w:val="true"/>
      <w:numPr>
        <w:ilvl w:val="0"/>
        <w:numId w:val="0"/>
      </w:numPr>
      <w:pBdr/>
      <w:shd w:val="nil"/>
      <w:tabs>
        <w:tab w:val="left" w:leader="none" w:pos="0"/>
        <w:tab w:val="clear" w:leader="none" w:pos="708"/>
      </w:tabs>
      <w:spacing w:after="0" w:afterAutospacing="0" w:before="0" w:beforeAutospacing="0" w:line="240" w:lineRule="auto"/>
      <w:ind w:right="0" w:firstLine="0" w:left="0"/>
      <w:jc w:val="left"/>
      <w:outlineLvl w:val="1"/>
    </w:pPr>
    <w:rPr>
      <w:rFonts w:ascii="Times New Roman" w:hAnsi="Times New Roman" w:eastAsia="Times New Roman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u w:val="none"/>
      <w:vertAlign w:val="baseline"/>
      <w:lang w:val="en-US" w:eastAsia="zh-CN" w:bidi="ar-SA"/>
      <w14:ligatures w14:val="none"/>
    </w:rPr>
  </w:style>
  <w:style w:type="paragraph" w:styleId="847" w:customStyle="1">
    <w:name w:val="Heading 3"/>
    <w:basedOn w:val="844"/>
    <w:qFormat/>
    <w:pPr>
      <w:keepNext w:val="true"/>
      <w:keepLines w:val="false"/>
      <w:pageBreakBefore w:val="false"/>
      <w:widowControl w:val="true"/>
      <w:numPr>
        <w:ilvl w:val="0"/>
        <w:numId w:val="0"/>
      </w:numPr>
      <w:pBdr/>
      <w:shd w:val="nil"/>
      <w:tabs>
        <w:tab w:val="left" w:leader="none" w:pos="0"/>
        <w:tab w:val="clear" w:leader="none" w:pos="708"/>
      </w:tabs>
      <w:spacing w:after="60" w:afterAutospacing="0" w:before="240" w:beforeAutospacing="0" w:line="240" w:lineRule="auto"/>
      <w:ind w:right="0" w:hanging="180" w:left="2160"/>
      <w:jc w:val="left"/>
      <w:outlineLvl w:val="2"/>
    </w:pPr>
    <w:rPr>
      <w:rFonts w:ascii="Arial" w:hAnsi="Arial" w:eastAsia="Times New Roman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6"/>
      <w:u w:val="none"/>
      <w:vertAlign w:val="baseline"/>
      <w:lang w:val="en-US" w:eastAsia="zh-CN" w:bidi="ar-SA"/>
      <w14:ligatures w14:val="none"/>
    </w:rPr>
  </w:style>
  <w:style w:type="paragraph" w:styleId="848" w:customStyle="1">
    <w:name w:val="Heading 4"/>
    <w:basedOn w:val="844"/>
    <w:qFormat/>
    <w:pPr>
      <w:keepNext w:val="true"/>
      <w:keepLines w:val="false"/>
      <w:pageBreakBefore w:val="false"/>
      <w:widowControl w:val="true"/>
      <w:numPr>
        <w:ilvl w:val="0"/>
        <w:numId w:val="0"/>
      </w:numPr>
      <w:pBdr/>
      <w:shd w:val="nil"/>
      <w:tabs>
        <w:tab w:val="left" w:leader="none" w:pos="0"/>
        <w:tab w:val="clear" w:leader="none" w:pos="708"/>
      </w:tabs>
      <w:spacing w:after="60" w:afterAutospacing="0" w:before="240" w:beforeAutospacing="0" w:line="276" w:lineRule="auto"/>
      <w:ind w:right="0" w:firstLine="0" w:left="0"/>
      <w:jc w:val="left"/>
      <w:outlineLvl w:val="3"/>
    </w:pPr>
    <w:rPr>
      <w:rFonts w:ascii="Calibri" w:hAnsi="Calibri" w:eastAsia="Times New Roman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u w:val="none"/>
      <w:vertAlign w:val="baseline"/>
      <w:lang w:val="en-US" w:eastAsia="zh-CN" w:bidi="ar-SA"/>
      <w14:ligatures w14:val="none"/>
    </w:rPr>
  </w:style>
  <w:style w:type="paragraph" w:styleId="849">
    <w:name w:val="Heading 5"/>
    <w:basedOn w:val="844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50" w:customStyle="1">
    <w:name w:val="Heading 6"/>
    <w:basedOn w:val="844"/>
    <w:qFormat/>
    <w:pPr>
      <w:keepNext w:val="true"/>
      <w:keepLines w:val="false"/>
      <w:pageBreakBefore w:val="false"/>
      <w:widowControl w:val="true"/>
      <w:numPr>
        <w:ilvl w:val="0"/>
        <w:numId w:val="0"/>
      </w:numPr>
      <w:pBdr/>
      <w:shd w:val="nil"/>
      <w:tabs>
        <w:tab w:val="left" w:leader="none" w:pos="0"/>
        <w:tab w:val="clear" w:leader="none" w:pos="708"/>
      </w:tabs>
      <w:spacing w:after="0" w:afterAutospacing="0" w:before="0" w:beforeAutospacing="0" w:line="240" w:lineRule="auto"/>
      <w:ind w:right="0" w:firstLine="0" w:left="0"/>
      <w:jc w:val="center"/>
      <w:outlineLvl w:val="5"/>
    </w:pPr>
    <w:rPr>
      <w:rFonts w:ascii="Times New Roman" w:hAnsi="Times New Roman" w:eastAsia="Times New Roman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u w:val="none"/>
      <w:vertAlign w:val="baseline"/>
      <w:lang w:val="en-US" w:eastAsia="zh-CN" w:bidi="ar-SA"/>
      <w14:ligatures w14:val="none"/>
    </w:rPr>
  </w:style>
  <w:style w:type="paragraph" w:styleId="851">
    <w:name w:val="Heading 7"/>
    <w:basedOn w:val="844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52">
    <w:name w:val="Heading 8"/>
    <w:basedOn w:val="844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53">
    <w:name w:val="Heading 9"/>
    <w:basedOn w:val="844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54">
    <w:name w:val="Heading 1 Char"/>
    <w:basedOn w:val="877"/>
    <w:uiPriority w:val="9"/>
    <w:qFormat/>
    <w:pPr>
      <w:pBdr/>
      <w:spacing/>
      <w:ind/>
    </w:pPr>
    <w:rPr>
      <w:rFonts w:ascii="Arial" w:hAnsi="Arial" w:eastAsia="Arial" w:cs="Arial"/>
      <w:sz w:val="40"/>
      <w:szCs w:val="40"/>
    </w:rPr>
  </w:style>
  <w:style w:type="character" w:styleId="855">
    <w:name w:val="Heading 2 Char"/>
    <w:basedOn w:val="877"/>
    <w:uiPriority w:val="9"/>
    <w:qFormat/>
    <w:pPr>
      <w:pBdr/>
      <w:spacing/>
      <w:ind/>
    </w:pPr>
    <w:rPr>
      <w:rFonts w:ascii="Arial" w:hAnsi="Arial" w:eastAsia="Arial" w:cs="Arial"/>
      <w:sz w:val="34"/>
    </w:rPr>
  </w:style>
  <w:style w:type="character" w:styleId="856">
    <w:name w:val="Heading 3 Char"/>
    <w:basedOn w:val="877"/>
    <w:uiPriority w:val="9"/>
    <w:qFormat/>
    <w:pPr>
      <w:pBdr/>
      <w:spacing/>
      <w:ind/>
    </w:pPr>
    <w:rPr>
      <w:rFonts w:ascii="Arial" w:hAnsi="Arial" w:eastAsia="Arial" w:cs="Arial"/>
      <w:sz w:val="30"/>
      <w:szCs w:val="30"/>
    </w:rPr>
  </w:style>
  <w:style w:type="character" w:styleId="857">
    <w:name w:val="Heading 4 Char"/>
    <w:basedOn w:val="877"/>
    <w:uiPriority w:val="9"/>
    <w:qFormat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character" w:styleId="858">
    <w:name w:val="Heading 5 Char"/>
    <w:basedOn w:val="877"/>
    <w:uiPriority w:val="9"/>
    <w:qFormat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character" w:styleId="859">
    <w:name w:val="Heading 6 Char"/>
    <w:basedOn w:val="877"/>
    <w:uiPriority w:val="9"/>
    <w:qFormat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character" w:styleId="860">
    <w:name w:val="Heading 7 Char"/>
    <w:basedOn w:val="877"/>
    <w:uiPriority w:val="9"/>
    <w:qFormat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61">
    <w:name w:val="Heading 8 Char"/>
    <w:basedOn w:val="877"/>
    <w:uiPriority w:val="9"/>
    <w:qFormat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character" w:styleId="862">
    <w:name w:val="Heading 9 Char"/>
    <w:basedOn w:val="877"/>
    <w:uiPriority w:val="9"/>
    <w:qFormat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character" w:styleId="863">
    <w:name w:val="Title Char"/>
    <w:basedOn w:val="877"/>
    <w:uiPriority w:val="10"/>
    <w:qFormat/>
    <w:pPr>
      <w:pBdr/>
      <w:spacing/>
      <w:ind/>
    </w:pPr>
    <w:rPr>
      <w:sz w:val="48"/>
      <w:szCs w:val="48"/>
    </w:rPr>
  </w:style>
  <w:style w:type="character" w:styleId="864">
    <w:name w:val="Subtitle Char"/>
    <w:basedOn w:val="877"/>
    <w:uiPriority w:val="11"/>
    <w:qFormat/>
    <w:pPr>
      <w:pBdr/>
      <w:spacing/>
      <w:ind/>
    </w:pPr>
    <w:rPr>
      <w:sz w:val="24"/>
      <w:szCs w:val="24"/>
    </w:rPr>
  </w:style>
  <w:style w:type="character" w:styleId="865">
    <w:name w:val="Quote Char"/>
    <w:uiPriority w:val="29"/>
    <w:qFormat/>
    <w:pPr>
      <w:pBdr/>
      <w:spacing/>
      <w:ind/>
    </w:pPr>
    <w:rPr>
      <w:i/>
    </w:rPr>
  </w:style>
  <w:style w:type="character" w:styleId="866">
    <w:name w:val="Intense Quote Char"/>
    <w:uiPriority w:val="30"/>
    <w:qFormat/>
    <w:pPr>
      <w:pBdr/>
      <w:spacing/>
      <w:ind/>
    </w:pPr>
    <w:rPr>
      <w:i/>
    </w:rPr>
  </w:style>
  <w:style w:type="character" w:styleId="867">
    <w:name w:val="Header Char"/>
    <w:basedOn w:val="877"/>
    <w:uiPriority w:val="99"/>
    <w:qFormat/>
    <w:pPr>
      <w:pBdr/>
      <w:spacing/>
      <w:ind/>
    </w:pPr>
  </w:style>
  <w:style w:type="character" w:styleId="868">
    <w:name w:val="Footer Char"/>
    <w:basedOn w:val="877"/>
    <w:uiPriority w:val="99"/>
    <w:qFormat/>
    <w:pPr>
      <w:pBdr/>
      <w:spacing/>
      <w:ind/>
    </w:pPr>
  </w:style>
  <w:style w:type="character" w:styleId="869">
    <w:name w:val="Caption Char"/>
    <w:uiPriority w:val="99"/>
    <w:qFormat/>
    <w:pPr>
      <w:pBdr/>
      <w:spacing/>
      <w:ind/>
    </w:pPr>
  </w:style>
  <w:style w:type="character" w:styleId="870">
    <w:name w:val="Hyperlink"/>
    <w:uiPriority w:val="99"/>
    <w:unhideWhenUsed/>
    <w:pPr>
      <w:pBdr/>
      <w:spacing/>
      <w:ind/>
    </w:pPr>
    <w:rPr>
      <w:color w:val="000080"/>
      <w:u w:val="single"/>
    </w:rPr>
  </w:style>
  <w:style w:type="character" w:styleId="871">
    <w:name w:val="Footnote Text Char"/>
    <w:uiPriority w:val="99"/>
    <w:qFormat/>
    <w:pPr>
      <w:pBdr/>
      <w:spacing/>
      <w:ind/>
    </w:pPr>
    <w:rPr>
      <w:sz w:val="18"/>
    </w:rPr>
  </w:style>
  <w:style w:type="character" w:styleId="872">
    <w:name w:val="Символ сноски"/>
    <w:uiPriority w:val="99"/>
    <w:unhideWhenUsed/>
    <w:qFormat/>
    <w:pPr>
      <w:pBdr/>
      <w:spacing/>
      <w:ind/>
    </w:pPr>
    <w:rPr>
      <w:vertAlign w:val="superscript"/>
    </w:rPr>
  </w:style>
  <w:style w:type="character" w:styleId="873">
    <w:name w:val="footnote reference"/>
    <w:pPr>
      <w:pBdr/>
      <w:spacing/>
      <w:ind/>
    </w:pPr>
    <w:rPr>
      <w:vertAlign w:val="superscript"/>
    </w:rPr>
  </w:style>
  <w:style w:type="character" w:styleId="874">
    <w:name w:val="Endnote Text Char"/>
    <w:uiPriority w:val="99"/>
    <w:qFormat/>
    <w:pPr>
      <w:pBdr/>
      <w:spacing/>
      <w:ind/>
    </w:pPr>
    <w:rPr>
      <w:sz w:val="20"/>
    </w:rPr>
  </w:style>
  <w:style w:type="character" w:styleId="875">
    <w:name w:val="Символ концевой сноски"/>
    <w:uiPriority w:val="99"/>
    <w:semiHidden/>
    <w:unhideWhenUsed/>
    <w:qFormat/>
    <w:pPr>
      <w:pBdr/>
      <w:spacing/>
      <w:ind/>
    </w:pPr>
    <w:rPr>
      <w:vertAlign w:val="superscript"/>
    </w:rPr>
  </w:style>
  <w:style w:type="character" w:styleId="876">
    <w:name w:val="endnote reference"/>
    <w:pPr>
      <w:pBdr/>
      <w:spacing/>
      <w:ind/>
    </w:pPr>
    <w:rPr>
      <w:vertAlign w:val="superscript"/>
    </w:rPr>
  </w:style>
  <w:style w:type="character" w:styleId="877" w:default="1">
    <w:name w:val="Default Paragraph Font"/>
    <w:uiPriority w:val="1"/>
    <w:semiHidden/>
    <w:unhideWhenUsed/>
    <w:qFormat/>
    <w:pPr>
      <w:pBdr/>
      <w:spacing/>
      <w:ind/>
    </w:pPr>
  </w:style>
  <w:style w:type="paragraph" w:styleId="878">
    <w:name w:val="Заголовок"/>
    <w:basedOn w:val="844"/>
    <w:next w:val="879"/>
    <w:qFormat/>
    <w:pPr>
      <w:keepNext w:val="true"/>
      <w:pBdr/>
      <w:spacing w:after="120" w:before="240"/>
      <w:ind/>
    </w:pPr>
    <w:rPr>
      <w:rFonts w:ascii="Liberation Sans" w:hAnsi="Liberation Sans" w:eastAsia="Microsoft YaHei" w:cs="Mangal"/>
      <w:sz w:val="28"/>
      <w:szCs w:val="28"/>
    </w:rPr>
  </w:style>
  <w:style w:type="paragraph" w:styleId="879">
    <w:name w:val="Body Text"/>
    <w:basedOn w:val="844"/>
    <w:pPr>
      <w:pBdr/>
      <w:spacing w:after="140" w:before="0" w:line="288" w:lineRule="auto"/>
      <w:ind/>
    </w:pPr>
  </w:style>
  <w:style w:type="paragraph" w:styleId="880">
    <w:name w:val="List"/>
    <w:basedOn w:val="879"/>
    <w:pPr>
      <w:pBdr/>
      <w:spacing/>
      <w:ind/>
    </w:pPr>
    <w:rPr>
      <w:rFonts w:cs="Mangal"/>
    </w:rPr>
  </w:style>
  <w:style w:type="paragraph" w:styleId="881">
    <w:name w:val="Caption"/>
    <w:basedOn w:val="844"/>
    <w:qFormat/>
    <w:pPr>
      <w:suppressLineNumbers w:val="true"/>
      <w:pBdr/>
      <w:spacing w:after="120" w:before="120"/>
      <w:ind/>
    </w:pPr>
    <w:rPr>
      <w:rFonts w:cs="Mangal"/>
      <w:i/>
      <w:iCs/>
      <w:sz w:val="24"/>
      <w:szCs w:val="24"/>
    </w:rPr>
  </w:style>
  <w:style w:type="paragraph" w:styleId="882">
    <w:name w:val="Указатель"/>
    <w:basedOn w:val="844"/>
    <w:qFormat/>
    <w:pPr>
      <w:suppressLineNumbers w:val="true"/>
      <w:pBdr/>
      <w:spacing/>
      <w:ind/>
    </w:pPr>
    <w:rPr>
      <w:rFonts w:cs="Mangal"/>
    </w:rPr>
  </w:style>
  <w:style w:type="paragraph" w:styleId="883">
    <w:name w:val="No Spacing"/>
    <w:uiPriority w:val="1"/>
    <w:qFormat/>
    <w:pPr>
      <w:widowControl w:val="true"/>
      <w:pBdr/>
      <w:bidi w:val="false"/>
      <w:spacing w:after="0" w:before="0" w:line="240" w:lineRule="auto"/>
      <w:ind/>
      <w:jc w:val="left"/>
    </w:pPr>
    <w:rPr>
      <w:rFonts w:ascii="Calibri" w:hAnsi="Calibri" w:eastAsia="Calibri" w:cs="Arial" w:asciiTheme="minorHAnsi" w:hAnsiTheme="minorHAnsi" w:eastAsiaTheme="minorHAnsi" w:cstheme="minorBidi"/>
      <w:color w:val="auto"/>
      <w:sz w:val="20"/>
      <w:szCs w:val="22"/>
      <w:lang w:val="ru-RU" w:eastAsia="en-US" w:bidi="ar-SA"/>
    </w:rPr>
  </w:style>
  <w:style w:type="paragraph" w:styleId="884">
    <w:name w:val="Title"/>
    <w:basedOn w:val="844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paragraph" w:styleId="885">
    <w:name w:val="Subtitle"/>
    <w:basedOn w:val="844"/>
    <w:uiPriority w:val="11"/>
    <w:qFormat/>
    <w:pPr>
      <w:pBdr/>
      <w:spacing w:after="200" w:before="200"/>
      <w:ind/>
    </w:pPr>
    <w:rPr>
      <w:sz w:val="24"/>
      <w:szCs w:val="24"/>
    </w:rPr>
  </w:style>
  <w:style w:type="paragraph" w:styleId="886">
    <w:name w:val="Quote"/>
    <w:basedOn w:val="844"/>
    <w:uiPriority w:val="29"/>
    <w:qFormat/>
    <w:pPr>
      <w:pBdr/>
      <w:spacing/>
      <w:ind w:right="720" w:left="720"/>
    </w:pPr>
    <w:rPr>
      <w:i/>
    </w:rPr>
  </w:style>
  <w:style w:type="paragraph" w:styleId="887">
    <w:name w:val="Intense Quote"/>
    <w:basedOn w:val="844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 w:after="0" w:before="0"/>
      <w:ind w:right="720" w:left="720"/>
    </w:pPr>
    <w:rPr>
      <w:i/>
    </w:rPr>
  </w:style>
  <w:style w:type="paragraph" w:styleId="888">
    <w:name w:val="Колонтитул"/>
    <w:basedOn w:val="844"/>
    <w:qFormat/>
    <w:pPr>
      <w:pBdr/>
      <w:spacing/>
      <w:ind/>
    </w:pPr>
  </w:style>
  <w:style w:type="paragraph" w:styleId="889">
    <w:name w:val="Header"/>
    <w:basedOn w:val="844"/>
    <w:uiPriority w:val="99"/>
    <w:unhideWhenUsed/>
    <w:pPr>
      <w:pBdr/>
      <w:tabs>
        <w:tab w:val="clear" w:leader="none" w:pos="708"/>
        <w:tab w:val="center" w:leader="none" w:pos="7143"/>
        <w:tab w:val="right" w:leader="none" w:pos="14287"/>
      </w:tabs>
      <w:spacing w:after="0" w:before="0" w:line="240" w:lineRule="auto"/>
      <w:ind/>
    </w:pPr>
  </w:style>
  <w:style w:type="paragraph" w:styleId="890">
    <w:name w:val="Footer"/>
    <w:basedOn w:val="844"/>
    <w:uiPriority w:val="99"/>
    <w:unhideWhenUsed/>
    <w:pPr>
      <w:pBdr/>
      <w:tabs>
        <w:tab w:val="clear" w:leader="none" w:pos="708"/>
        <w:tab w:val="center" w:leader="none" w:pos="7143"/>
        <w:tab w:val="right" w:leader="none" w:pos="14287"/>
      </w:tabs>
      <w:spacing w:after="0" w:before="0" w:line="240" w:lineRule="auto"/>
      <w:ind/>
    </w:pPr>
  </w:style>
  <w:style w:type="paragraph" w:styleId="891">
    <w:name w:val="footnote text"/>
    <w:basedOn w:val="844"/>
    <w:uiPriority w:val="99"/>
    <w:semiHidden/>
    <w:unhideWhenUsed/>
    <w:pPr>
      <w:pBdr/>
      <w:spacing w:after="40" w:before="0" w:line="240" w:lineRule="auto"/>
      <w:ind/>
    </w:pPr>
    <w:rPr>
      <w:sz w:val="18"/>
    </w:rPr>
  </w:style>
  <w:style w:type="paragraph" w:styleId="892">
    <w:name w:val="endnote text"/>
    <w:basedOn w:val="844"/>
    <w:uiPriority w:val="99"/>
    <w:semiHidden/>
    <w:unhideWhenUsed/>
    <w:pPr>
      <w:pBdr/>
      <w:spacing w:after="0" w:before="0" w:line="240" w:lineRule="auto"/>
      <w:ind/>
    </w:pPr>
    <w:rPr>
      <w:sz w:val="20"/>
    </w:rPr>
  </w:style>
  <w:style w:type="paragraph" w:styleId="893">
    <w:name w:val="toc 1"/>
    <w:basedOn w:val="844"/>
    <w:uiPriority w:val="39"/>
    <w:unhideWhenUsed/>
    <w:pPr>
      <w:pBdr/>
      <w:spacing w:after="57" w:before="0"/>
      <w:ind w:right="0" w:firstLine="0" w:left="0"/>
    </w:pPr>
  </w:style>
  <w:style w:type="paragraph" w:styleId="894">
    <w:name w:val="toc 2"/>
    <w:basedOn w:val="844"/>
    <w:uiPriority w:val="39"/>
    <w:unhideWhenUsed/>
    <w:pPr>
      <w:pBdr/>
      <w:spacing w:after="57" w:before="0"/>
      <w:ind w:right="0" w:firstLine="0" w:left="283"/>
    </w:pPr>
  </w:style>
  <w:style w:type="paragraph" w:styleId="895">
    <w:name w:val="toc 3"/>
    <w:basedOn w:val="844"/>
    <w:uiPriority w:val="39"/>
    <w:unhideWhenUsed/>
    <w:pPr>
      <w:pBdr/>
      <w:spacing w:after="57" w:before="0"/>
      <w:ind w:right="0" w:firstLine="0" w:left="567"/>
    </w:pPr>
  </w:style>
  <w:style w:type="paragraph" w:styleId="896">
    <w:name w:val="toc 4"/>
    <w:basedOn w:val="844"/>
    <w:uiPriority w:val="39"/>
    <w:unhideWhenUsed/>
    <w:pPr>
      <w:pBdr/>
      <w:spacing w:after="57" w:before="0"/>
      <w:ind w:right="0" w:firstLine="0" w:left="850"/>
    </w:pPr>
  </w:style>
  <w:style w:type="paragraph" w:styleId="897">
    <w:name w:val="toc 5"/>
    <w:basedOn w:val="844"/>
    <w:uiPriority w:val="39"/>
    <w:unhideWhenUsed/>
    <w:pPr>
      <w:pBdr/>
      <w:spacing w:after="57" w:before="0"/>
      <w:ind w:right="0" w:firstLine="0" w:left="1134"/>
    </w:pPr>
  </w:style>
  <w:style w:type="paragraph" w:styleId="898">
    <w:name w:val="toc 6"/>
    <w:basedOn w:val="844"/>
    <w:uiPriority w:val="39"/>
    <w:unhideWhenUsed/>
    <w:pPr>
      <w:pBdr/>
      <w:spacing w:after="57" w:before="0"/>
      <w:ind w:right="0" w:firstLine="0" w:left="1417"/>
    </w:pPr>
  </w:style>
  <w:style w:type="paragraph" w:styleId="899">
    <w:name w:val="toc 7"/>
    <w:basedOn w:val="844"/>
    <w:uiPriority w:val="39"/>
    <w:unhideWhenUsed/>
    <w:pPr>
      <w:pBdr/>
      <w:spacing w:after="57" w:before="0"/>
      <w:ind w:right="0" w:firstLine="0" w:left="1701"/>
    </w:pPr>
  </w:style>
  <w:style w:type="paragraph" w:styleId="900">
    <w:name w:val="toc 8"/>
    <w:basedOn w:val="844"/>
    <w:uiPriority w:val="39"/>
    <w:unhideWhenUsed/>
    <w:pPr>
      <w:pBdr/>
      <w:spacing w:after="57" w:before="0"/>
      <w:ind w:right="0" w:firstLine="0" w:left="1984"/>
    </w:pPr>
  </w:style>
  <w:style w:type="paragraph" w:styleId="901">
    <w:name w:val="toc 9"/>
    <w:basedOn w:val="844"/>
    <w:uiPriority w:val="39"/>
    <w:unhideWhenUsed/>
    <w:pPr>
      <w:pBdr/>
      <w:spacing w:after="57" w:before="0"/>
      <w:ind w:right="0" w:firstLine="0" w:left="2268"/>
    </w:pPr>
  </w:style>
  <w:style w:type="paragraph" w:styleId="902">
    <w:name w:val="Index Heading"/>
    <w:basedOn w:val="878"/>
    <w:pPr>
      <w:pBdr/>
      <w:spacing/>
      <w:ind/>
    </w:pPr>
  </w:style>
  <w:style w:type="paragraph" w:styleId="903">
    <w:name w:val="TOC Heading"/>
    <w:uiPriority w:val="39"/>
    <w:unhideWhenUsed/>
    <w:qFormat/>
    <w:pPr>
      <w:widowControl w:val="true"/>
      <w:pBdr/>
      <w:bidi w:val="false"/>
      <w:spacing w:after="0" w:before="0"/>
      <w:ind/>
      <w:jc w:val="left"/>
    </w:pPr>
    <w:rPr>
      <w:rFonts w:ascii="Calibri" w:hAnsi="Calibri" w:eastAsia="Calibri" w:cs="Arial" w:asciiTheme="minorHAnsi" w:hAnsiTheme="minorHAnsi" w:eastAsiaTheme="minorHAnsi" w:cstheme="minorBidi"/>
      <w:color w:val="auto"/>
      <w:sz w:val="20"/>
      <w:szCs w:val="22"/>
      <w:lang w:val="ru-RU" w:eastAsia="en-US" w:bidi="ar-SA"/>
    </w:rPr>
  </w:style>
  <w:style w:type="paragraph" w:styleId="904">
    <w:name w:val="table of figures"/>
    <w:basedOn w:val="844"/>
    <w:uiPriority w:val="99"/>
    <w:unhideWhenUsed/>
    <w:pPr>
      <w:pBdr/>
      <w:spacing w:after="0" w:afterAutospacing="0" w:before="0"/>
      <w:ind/>
    </w:pPr>
  </w:style>
  <w:style w:type="paragraph" w:styleId="905">
    <w:name w:val="List Paragraph"/>
    <w:basedOn w:val="844"/>
    <w:uiPriority w:val="34"/>
    <w:qFormat/>
    <w:pPr>
      <w:pBdr/>
      <w:spacing w:after="160" w:before="0"/>
      <w:ind w:firstLine="0" w:left="720"/>
      <w:contextualSpacing w:val="true"/>
    </w:pPr>
  </w:style>
  <w:style w:type="paragraph" w:styleId="906">
    <w:name w:val="Содержимое таблицы"/>
    <w:basedOn w:val="844"/>
    <w:qFormat/>
    <w:pPr>
      <w:suppressLineNumbers w:val="true"/>
      <w:pBdr/>
      <w:spacing/>
      <w:ind/>
    </w:pPr>
  </w:style>
  <w:style w:type="paragraph" w:styleId="907">
    <w:name w:val="Заголовок таблицы"/>
    <w:basedOn w:val="906"/>
    <w:qFormat/>
    <w:pPr>
      <w:suppressLineNumbers w:val="true"/>
      <w:pBdr/>
      <w:spacing/>
      <w:ind/>
      <w:jc w:val="center"/>
    </w:pPr>
    <w:rPr>
      <w:b/>
      <w:bCs/>
    </w:rPr>
  </w:style>
  <w:style w:type="numbering" w:styleId="908" w:default="1">
    <w:name w:val="No List"/>
    <w:uiPriority w:val="99"/>
    <w:semiHidden/>
    <w:unhideWhenUsed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ONLYOFFICE/8.2.0.143</Application>
  <DocSecurity>0</DocSecurity>
  <HeadingPairs>
    <vt:vector size="0" baseType="variant"/>
  </HeadingPairs>
  <TitlesOfParts>
    <vt:vector size="0" baseType="lpstr"/>
  </TitlesOfPart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Красавина Елена Евгеньевна</dc:creator>
  <dc:description/>
  <dc:language>ru-RU</dc:language>
  <cp:revision>28</cp:revision>
  <dcterms:created xsi:type="dcterms:W3CDTF">2022-09-08T08:58:00Z</dcterms:created>
  <dcterms:modified xsi:type="dcterms:W3CDTF">2025-03-19T12:23:10Z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